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92C7E" w14:textId="77777777" w:rsidR="00CF6ECF" w:rsidRDefault="00CF6ECF" w:rsidP="00CD4C7B">
      <w:pPr>
        <w:pStyle w:val="Header"/>
        <w:tabs>
          <w:tab w:val="right" w:pos="9639"/>
        </w:tabs>
        <w:rPr>
          <w:bCs/>
          <w:noProof w:val="0"/>
          <w:sz w:val="24"/>
          <w:szCs w:val="24"/>
        </w:rPr>
      </w:pPr>
    </w:p>
    <w:p w14:paraId="40C36556" w14:textId="2E226B10" w:rsidR="00CD4C7B" w:rsidRPr="00310AF9" w:rsidRDefault="00CD4C7B" w:rsidP="00CD4C7B">
      <w:pPr>
        <w:pStyle w:val="Header"/>
        <w:tabs>
          <w:tab w:val="right" w:pos="9639"/>
        </w:tabs>
        <w:rPr>
          <w:i/>
          <w:sz w:val="24"/>
          <w:szCs w:val="24"/>
        </w:rPr>
      </w:pPr>
      <w:r w:rsidRPr="00310AF9">
        <w:rPr>
          <w:sz w:val="24"/>
          <w:szCs w:val="24"/>
        </w:rPr>
        <w:t>3GPP T</w:t>
      </w:r>
      <w:bookmarkStart w:id="0" w:name="_Ref452454252"/>
      <w:bookmarkEnd w:id="0"/>
      <w:r w:rsidRPr="00310AF9">
        <w:rPr>
          <w:sz w:val="24"/>
          <w:szCs w:val="24"/>
        </w:rPr>
        <w:t xml:space="preserve">SG-RAN </w:t>
      </w:r>
      <w:r w:rsidR="00936071">
        <w:rPr>
          <w:noProof w:val="0"/>
          <w:sz w:val="24"/>
          <w:szCs w:val="24"/>
        </w:rPr>
        <w:t xml:space="preserve">WG2 </w:t>
      </w:r>
      <w:r w:rsidR="00786399">
        <w:rPr>
          <w:noProof w:val="0"/>
          <w:sz w:val="24"/>
          <w:szCs w:val="24"/>
        </w:rPr>
        <w:t xml:space="preserve">NR </w:t>
      </w:r>
      <w:r w:rsidR="489ACE2A" w:rsidRPr="00310AF9">
        <w:rPr>
          <w:noProof w:val="0"/>
          <w:sz w:val="24"/>
          <w:szCs w:val="24"/>
        </w:rPr>
        <w:t>Adhoc</w:t>
      </w:r>
      <w:r w:rsidR="00F337B9">
        <w:rPr>
          <w:noProof w:val="0"/>
          <w:sz w:val="24"/>
          <w:szCs w:val="24"/>
        </w:rPr>
        <w:t xml:space="preserve"> 1801</w:t>
      </w:r>
      <w:r w:rsidR="00F337B9">
        <w:rPr>
          <w:noProof w:val="0"/>
          <w:sz w:val="24"/>
          <w:szCs w:val="24"/>
        </w:rPr>
        <w:tab/>
      </w:r>
      <w:r w:rsidRPr="00BD0CF7">
        <w:rPr>
          <w:noProof w:val="0"/>
          <w:sz w:val="24"/>
          <w:szCs w:val="24"/>
        </w:rPr>
        <w:t>R2</w:t>
      </w:r>
      <w:r w:rsidRPr="00310AF9">
        <w:rPr>
          <w:sz w:val="24"/>
          <w:szCs w:val="24"/>
        </w:rPr>
        <w:t>-</w:t>
      </w:r>
      <w:r w:rsidR="00FF39F3" w:rsidRPr="00FF39F3">
        <w:t xml:space="preserve"> </w:t>
      </w:r>
      <w:r w:rsidR="00FF39F3" w:rsidRPr="00310AF9">
        <w:rPr>
          <w:sz w:val="24"/>
          <w:szCs w:val="24"/>
        </w:rPr>
        <w:t>1800389</w:t>
      </w:r>
    </w:p>
    <w:p w14:paraId="231362B2" w14:textId="3725CDC8" w:rsidR="00CD4C7B" w:rsidRPr="00310AF9" w:rsidRDefault="00786399" w:rsidP="00CD4C7B">
      <w:pPr>
        <w:pStyle w:val="Header"/>
        <w:tabs>
          <w:tab w:val="right" w:pos="9639"/>
        </w:tabs>
        <w:rPr>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C92967">
        <w:rPr>
          <w:rFonts w:eastAsia="SimSun"/>
          <w:noProof w:val="0"/>
          <w:sz w:val="24"/>
          <w:szCs w:val="24"/>
          <w:lang w:eastAsia="zh-CN"/>
        </w:rPr>
        <w:t xml:space="preserve"> - </w:t>
      </w:r>
      <w:r>
        <w:rPr>
          <w:rFonts w:eastAsia="SimSun"/>
          <w:noProof w:val="0"/>
          <w:sz w:val="24"/>
          <w:szCs w:val="24"/>
          <w:lang w:eastAsia="zh-CN"/>
        </w:rPr>
        <w:t>26</w:t>
      </w:r>
      <w:r w:rsidR="00C92967">
        <w:rPr>
          <w:rFonts w:eastAsia="SimSun"/>
          <w:noProof w:val="0"/>
          <w:sz w:val="24"/>
          <w:szCs w:val="24"/>
          <w:lang w:eastAsia="zh-CN"/>
        </w:rPr>
        <w:t xml:space="preserve"> </w:t>
      </w:r>
      <w:r w:rsidR="00112F1A">
        <w:rPr>
          <w:rFonts w:eastAsia="SimSun"/>
          <w:noProof w:val="0"/>
          <w:sz w:val="24"/>
          <w:szCs w:val="24"/>
          <w:lang w:eastAsia="zh-CN"/>
        </w:rPr>
        <w:t>J</w:t>
      </w:r>
      <w:r>
        <w:rPr>
          <w:rFonts w:eastAsia="SimSun"/>
          <w:noProof w:val="0"/>
          <w:sz w:val="24"/>
          <w:szCs w:val="24"/>
          <w:lang w:eastAsia="zh-CN"/>
        </w:rPr>
        <w:t>anuary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1846C4" w:rsidR="00CD4C7B" w:rsidRPr="00330C44" w:rsidRDefault="00CD4C7B" w:rsidP="00CD4C7B">
      <w:pPr>
        <w:pStyle w:val="CRCoverPage"/>
        <w:tabs>
          <w:tab w:val="left" w:pos="1985"/>
        </w:tabs>
        <w:rPr>
          <w:rFonts w:cs="Arial"/>
          <w:b/>
          <w:sz w:val="24"/>
          <w:szCs w:val="24"/>
          <w:lang w:eastAsia="ja-JP"/>
        </w:rPr>
      </w:pPr>
      <w:r w:rsidRPr="00BD0CF7">
        <w:rPr>
          <w:rFonts w:cs="Arial"/>
          <w:b/>
          <w:sz w:val="24"/>
          <w:szCs w:val="24"/>
        </w:rPr>
        <w:t>Agenda item:</w:t>
      </w:r>
      <w:r>
        <w:rPr>
          <w:rFonts w:cs="Arial"/>
          <w:b/>
          <w:bCs/>
          <w:sz w:val="24"/>
        </w:rPr>
        <w:tab/>
      </w:r>
      <w:r w:rsidR="00F34B01" w:rsidRPr="00BD0CF7">
        <w:rPr>
          <w:rFonts w:cs="Arial"/>
          <w:b/>
          <w:sz w:val="24"/>
          <w:szCs w:val="24"/>
          <w:lang w:eastAsia="ja-JP"/>
        </w:rPr>
        <w:t>11.1</w:t>
      </w:r>
    </w:p>
    <w:p w14:paraId="6A1BC0C1" w14:textId="4B2EA55D" w:rsidR="00CD4C7B" w:rsidRPr="00F337B9" w:rsidRDefault="00CD4C7B" w:rsidP="00CD4C7B">
      <w:pPr>
        <w:tabs>
          <w:tab w:val="left" w:pos="1985"/>
        </w:tabs>
        <w:ind w:left="1985" w:hanging="1985"/>
        <w:rPr>
          <w:rFonts w:ascii="Arial" w:hAnsi="Arial" w:cs="Arial"/>
          <w:b/>
          <w:sz w:val="24"/>
          <w:szCs w:val="24"/>
        </w:rPr>
      </w:pPr>
      <w:r w:rsidRPr="00330C44">
        <w:rPr>
          <w:rFonts w:ascii="Arial" w:hAnsi="Arial" w:cs="Arial"/>
          <w:b/>
          <w:sz w:val="24"/>
          <w:szCs w:val="24"/>
        </w:rPr>
        <w:t>Source:</w:t>
      </w:r>
      <w:r w:rsidRPr="00B266B0">
        <w:rPr>
          <w:rFonts w:ascii="Arial" w:hAnsi="Arial" w:cs="Arial"/>
          <w:b/>
          <w:bCs/>
          <w:sz w:val="24"/>
        </w:rPr>
        <w:tab/>
      </w:r>
      <w:r w:rsidR="001741A0" w:rsidRPr="00BD0CF7">
        <w:rPr>
          <w:rFonts w:ascii="Arial" w:hAnsi="Arial" w:cs="Arial"/>
          <w:b/>
          <w:sz w:val="24"/>
          <w:szCs w:val="24"/>
        </w:rPr>
        <w:t>Nokia</w:t>
      </w:r>
      <w:r w:rsidR="00090468" w:rsidRPr="00330C44">
        <w:rPr>
          <w:rFonts w:ascii="Arial" w:hAnsi="Arial" w:cs="Arial"/>
          <w:b/>
          <w:sz w:val="24"/>
          <w:szCs w:val="24"/>
        </w:rPr>
        <w:t xml:space="preserve">, </w:t>
      </w:r>
      <w:r w:rsidR="00786399" w:rsidRPr="00330C44">
        <w:rPr>
          <w:rFonts w:ascii="Arial" w:hAnsi="Arial" w:cs="Arial"/>
          <w:b/>
          <w:sz w:val="24"/>
          <w:szCs w:val="24"/>
        </w:rPr>
        <w:t>Nokia</w:t>
      </w:r>
      <w:r w:rsidR="00090468" w:rsidRPr="00F337B9">
        <w:rPr>
          <w:rFonts w:ascii="Arial" w:hAnsi="Arial" w:cs="Arial"/>
          <w:b/>
          <w:sz w:val="24"/>
          <w:szCs w:val="24"/>
        </w:rPr>
        <w:t xml:space="preserve"> Shanghai Bell</w:t>
      </w:r>
    </w:p>
    <w:p w14:paraId="45BE90BE" w14:textId="59E35BA7" w:rsidR="00CD4C7B" w:rsidRPr="00F337B9" w:rsidRDefault="00F350C5" w:rsidP="00CD4C7B">
      <w:pPr>
        <w:ind w:left="1985" w:hanging="1985"/>
        <w:rPr>
          <w:rFonts w:ascii="Arial" w:hAnsi="Arial" w:cs="Arial"/>
          <w:b/>
          <w:sz w:val="24"/>
          <w:szCs w:val="24"/>
        </w:rPr>
      </w:pPr>
      <w:r w:rsidRPr="00F337B9">
        <w:rPr>
          <w:rFonts w:ascii="Arial" w:hAnsi="Arial" w:cs="Arial"/>
          <w:b/>
          <w:sz w:val="24"/>
          <w:szCs w:val="24"/>
        </w:rPr>
        <w:t>Title:</w:t>
      </w:r>
      <w:r>
        <w:rPr>
          <w:rFonts w:ascii="Arial" w:hAnsi="Arial" w:cs="Arial"/>
          <w:b/>
          <w:bCs/>
          <w:sz w:val="24"/>
        </w:rPr>
        <w:tab/>
      </w:r>
      <w:r w:rsidR="00B518F9" w:rsidRPr="00BD0CF7">
        <w:rPr>
          <w:rFonts w:ascii="Arial" w:hAnsi="Arial" w:cs="Arial"/>
          <w:b/>
          <w:sz w:val="24"/>
          <w:szCs w:val="24"/>
        </w:rPr>
        <w:t>General view</w:t>
      </w:r>
      <w:r w:rsidR="00C8572B" w:rsidRPr="00330C44">
        <w:rPr>
          <w:rFonts w:ascii="Arial" w:hAnsi="Arial" w:cs="Arial"/>
          <w:b/>
          <w:sz w:val="24"/>
          <w:szCs w:val="24"/>
        </w:rPr>
        <w:t>s</w:t>
      </w:r>
      <w:r w:rsidR="00B518F9" w:rsidRPr="00330C44">
        <w:rPr>
          <w:rFonts w:ascii="Arial" w:hAnsi="Arial" w:cs="Arial"/>
          <w:b/>
          <w:sz w:val="24"/>
          <w:szCs w:val="24"/>
        </w:rPr>
        <w:t xml:space="preserve"> on the </w:t>
      </w:r>
      <w:r w:rsidR="004859C8" w:rsidRPr="00F337B9">
        <w:rPr>
          <w:rFonts w:ascii="Arial" w:hAnsi="Arial" w:cs="Arial"/>
          <w:b/>
          <w:sz w:val="24"/>
          <w:szCs w:val="24"/>
        </w:rPr>
        <w:t>scope of the IAB study</w:t>
      </w:r>
    </w:p>
    <w:p w14:paraId="3AC3A0B1" w14:textId="2700E185" w:rsidR="00CD4C7B" w:rsidRPr="00F337B9" w:rsidRDefault="00CD4C7B" w:rsidP="00CD4C7B">
      <w:pPr>
        <w:ind w:left="1985" w:hanging="1985"/>
        <w:rPr>
          <w:rFonts w:ascii="Arial" w:hAnsi="Arial" w:cs="Arial"/>
          <w:b/>
          <w:sz w:val="24"/>
          <w:szCs w:val="24"/>
        </w:rPr>
      </w:pPr>
      <w:r w:rsidRPr="00F337B9">
        <w:rPr>
          <w:rFonts w:ascii="Arial" w:hAnsi="Arial" w:cs="Arial"/>
          <w:b/>
          <w:sz w:val="24"/>
          <w:szCs w:val="24"/>
        </w:rPr>
        <w:t>WID/SID:</w:t>
      </w:r>
      <w:r>
        <w:rPr>
          <w:rFonts w:ascii="Arial" w:hAnsi="Arial" w:cs="Arial"/>
          <w:b/>
          <w:bCs/>
          <w:sz w:val="24"/>
        </w:rPr>
        <w:tab/>
      </w:r>
      <w:r w:rsidR="008375D6" w:rsidRPr="00BD0CF7">
        <w:rPr>
          <w:rFonts w:ascii="Arial" w:hAnsi="Arial" w:cs="Arial"/>
          <w:b/>
          <w:sz w:val="24"/>
          <w:szCs w:val="24"/>
        </w:rPr>
        <w:t>FS</w:t>
      </w:r>
      <w:r w:rsidR="00AC7D3B" w:rsidRPr="00330C44">
        <w:rPr>
          <w:rFonts w:ascii="Arial" w:hAnsi="Arial" w:cs="Arial"/>
          <w:b/>
          <w:sz w:val="24"/>
          <w:szCs w:val="24"/>
        </w:rPr>
        <w:t>_NR</w:t>
      </w:r>
      <w:r w:rsidR="008375D6" w:rsidRPr="00BD0CF7">
        <w:rPr>
          <w:rFonts w:ascii="Arial" w:hAnsi="Arial" w:cs="Arial"/>
          <w:b/>
          <w:sz w:val="24"/>
          <w:szCs w:val="24"/>
        </w:rPr>
        <w:t>_</w:t>
      </w:r>
      <w:r w:rsidR="00AC7D3B" w:rsidRPr="00330C44">
        <w:rPr>
          <w:rFonts w:ascii="Arial" w:hAnsi="Arial" w:cs="Arial"/>
          <w:b/>
          <w:sz w:val="24"/>
          <w:szCs w:val="24"/>
        </w:rPr>
        <w:t xml:space="preserve">IAB </w:t>
      </w:r>
      <w:r w:rsidR="00D80795" w:rsidRPr="00F337B9">
        <w:rPr>
          <w:rFonts w:ascii="Arial" w:hAnsi="Arial" w:cs="Arial"/>
          <w:b/>
          <w:sz w:val="24"/>
          <w:szCs w:val="24"/>
        </w:rPr>
        <w:t>-</w:t>
      </w:r>
      <w:r w:rsidRPr="00F337B9">
        <w:rPr>
          <w:rFonts w:ascii="Arial" w:hAnsi="Arial" w:cs="Arial"/>
          <w:b/>
          <w:sz w:val="24"/>
          <w:szCs w:val="24"/>
        </w:rPr>
        <w:t xml:space="preserve"> Release</w:t>
      </w:r>
      <w:r w:rsidR="00D80795" w:rsidRPr="00F337B9">
        <w:rPr>
          <w:rFonts w:ascii="Arial" w:hAnsi="Arial" w:cs="Arial"/>
          <w:b/>
          <w:sz w:val="24"/>
          <w:szCs w:val="24"/>
        </w:rPr>
        <w:t xml:space="preserve"> </w:t>
      </w:r>
      <w:r w:rsidR="00970DB3" w:rsidRPr="00F337B9">
        <w:rPr>
          <w:rFonts w:ascii="Arial" w:hAnsi="Arial" w:cs="Arial"/>
          <w:b/>
          <w:sz w:val="24"/>
          <w:szCs w:val="24"/>
        </w:rPr>
        <w:t>15</w:t>
      </w:r>
    </w:p>
    <w:p w14:paraId="7DF86DB4" w14:textId="52DC8574" w:rsidR="00CD4C7B" w:rsidRPr="00330C44" w:rsidRDefault="00CD4C7B" w:rsidP="00CD4C7B">
      <w:pPr>
        <w:tabs>
          <w:tab w:val="left" w:pos="1985"/>
        </w:tabs>
        <w:rPr>
          <w:rFonts w:ascii="Arial" w:hAnsi="Arial" w:cs="Arial"/>
          <w:b/>
          <w:sz w:val="24"/>
          <w:szCs w:val="24"/>
        </w:rPr>
      </w:pPr>
      <w:r w:rsidRPr="00F337B9">
        <w:rPr>
          <w:rFonts w:ascii="Arial" w:hAnsi="Arial" w:cs="Arial"/>
          <w:b/>
          <w:sz w:val="24"/>
          <w:szCs w:val="24"/>
        </w:rPr>
        <w:t xml:space="preserve">Document </w:t>
      </w:r>
      <w:r w:rsidRPr="00BD0CF7">
        <w:rPr>
          <w:rFonts w:ascii="Arial" w:hAnsi="Arial" w:cs="Arial"/>
          <w:b/>
          <w:bCs/>
          <w:sz w:val="24"/>
          <w:szCs w:val="24"/>
        </w:rPr>
        <w:t>for:</w:t>
      </w:r>
      <w:r w:rsidR="00F337B9">
        <w:rPr>
          <w:rFonts w:ascii="Arial" w:hAnsi="Arial" w:cs="Arial"/>
          <w:b/>
          <w:bCs/>
          <w:sz w:val="24"/>
          <w:szCs w:val="24"/>
        </w:rPr>
        <w:tab/>
      </w:r>
      <w:r w:rsidR="489ACE2A" w:rsidRPr="00310AF9">
        <w:rPr>
          <w:rFonts w:ascii="Arial" w:hAnsi="Arial" w:cs="Arial"/>
          <w:b/>
          <w:bCs/>
          <w:sz w:val="24"/>
          <w:szCs w:val="24"/>
        </w:rPr>
        <w:t>Discussion</w:t>
      </w:r>
      <w:r w:rsidRPr="00BD0CF7">
        <w:rPr>
          <w:rFonts w:ascii="Arial" w:hAnsi="Arial" w:cs="Arial"/>
          <w:b/>
          <w:sz w:val="24"/>
          <w:szCs w:val="24"/>
        </w:rPr>
        <w:t xml:space="preserve"> and Deci</w:t>
      </w:r>
      <w:r w:rsidRPr="00330C44">
        <w:rPr>
          <w:rFonts w:ascii="Arial" w:hAnsi="Arial" w:cs="Arial"/>
          <w:b/>
          <w:sz w:val="24"/>
          <w:szCs w:val="24"/>
        </w:rPr>
        <w:t>sion</w:t>
      </w:r>
    </w:p>
    <w:p w14:paraId="3E959691" w14:textId="77777777" w:rsidR="00CD4C7B" w:rsidRPr="006E13D1" w:rsidRDefault="00CD4C7B" w:rsidP="00CD4C7B">
      <w:pPr>
        <w:pStyle w:val="Heading1"/>
      </w:pPr>
      <w:r w:rsidRPr="006E13D1">
        <w:t>1</w:t>
      </w:r>
      <w:r w:rsidRPr="006E13D1">
        <w:tab/>
      </w:r>
      <w:r w:rsidR="0056573F">
        <w:t>Introduction</w:t>
      </w:r>
    </w:p>
    <w:p w14:paraId="516E4C51" w14:textId="35A29B16" w:rsidR="00D95BE7" w:rsidRDefault="00AB420C" w:rsidP="00211E44">
      <w:r>
        <w:t xml:space="preserve">This contribution summarizes Nokia views on </w:t>
      </w:r>
      <w:r w:rsidR="004859C8">
        <w:t xml:space="preserve">different areas of IAB study. </w:t>
      </w:r>
      <w:r w:rsidR="009566A0">
        <w:t xml:space="preserve"> Detail</w:t>
      </w:r>
      <w:r w:rsidR="005730EE">
        <w:t>ed</w:t>
      </w:r>
      <w:r w:rsidR="009566A0">
        <w:t xml:space="preserve"> discussion</w:t>
      </w:r>
      <w:r w:rsidR="005730EE">
        <w:t>s</w:t>
      </w:r>
      <w:r w:rsidR="009566A0">
        <w:t xml:space="preserve"> of these topics may be found in the referenced contributions </w:t>
      </w:r>
      <w:r w:rsidR="009566A0">
        <w:fldChar w:fldCharType="begin"/>
      </w:r>
      <w:r w:rsidR="009566A0">
        <w:instrText xml:space="preserve"> REF _Ref503426701 \r \h </w:instrText>
      </w:r>
      <w:r w:rsidR="009566A0">
        <w:fldChar w:fldCharType="separate"/>
      </w:r>
      <w:r w:rsidR="009566A0">
        <w:t>[2]</w:t>
      </w:r>
      <w:r w:rsidR="009566A0">
        <w:fldChar w:fldCharType="end"/>
      </w:r>
      <w:r w:rsidR="009566A0">
        <w:t>,</w:t>
      </w:r>
      <w:r w:rsidR="009566A0">
        <w:fldChar w:fldCharType="begin"/>
      </w:r>
      <w:r w:rsidR="009566A0">
        <w:instrText xml:space="preserve"> REF _Ref503426709 \r \h </w:instrText>
      </w:r>
      <w:r w:rsidR="009566A0">
        <w:fldChar w:fldCharType="separate"/>
      </w:r>
      <w:r w:rsidR="009566A0">
        <w:t>[3]</w:t>
      </w:r>
      <w:r w:rsidR="009566A0">
        <w:fldChar w:fldCharType="end"/>
      </w:r>
      <w:r w:rsidR="009566A0">
        <w:t>,</w:t>
      </w:r>
      <w:r w:rsidR="009566A0">
        <w:fldChar w:fldCharType="begin"/>
      </w:r>
      <w:r w:rsidR="009566A0">
        <w:instrText xml:space="preserve"> REF _Ref503426711 \r \h </w:instrText>
      </w:r>
      <w:r w:rsidR="009566A0">
        <w:fldChar w:fldCharType="separate"/>
      </w:r>
      <w:r w:rsidR="009566A0">
        <w:t>[4]</w:t>
      </w:r>
      <w:r w:rsidR="009566A0">
        <w:fldChar w:fldCharType="end"/>
      </w:r>
      <w:r w:rsidR="009566A0">
        <w:t>,</w:t>
      </w:r>
      <w:r w:rsidR="009566A0">
        <w:fldChar w:fldCharType="begin"/>
      </w:r>
      <w:r w:rsidR="009566A0">
        <w:instrText xml:space="preserve"> REF _Ref503426713 \r \h </w:instrText>
      </w:r>
      <w:r w:rsidR="009566A0">
        <w:fldChar w:fldCharType="separate"/>
      </w:r>
      <w:r w:rsidR="009566A0">
        <w:t>[5]</w:t>
      </w:r>
      <w:r w:rsidR="009566A0">
        <w:fldChar w:fldCharType="end"/>
      </w:r>
      <w:r w:rsidR="009566A0">
        <w:t>,</w:t>
      </w:r>
      <w:r w:rsidR="009566A0">
        <w:fldChar w:fldCharType="begin"/>
      </w:r>
      <w:r w:rsidR="009566A0">
        <w:instrText xml:space="preserve"> REF _Ref503426717 \r \h </w:instrText>
      </w:r>
      <w:r w:rsidR="009566A0">
        <w:fldChar w:fldCharType="separate"/>
      </w:r>
      <w:r w:rsidR="009566A0">
        <w:t>[6]</w:t>
      </w:r>
      <w:r w:rsidR="009566A0">
        <w:fldChar w:fldCharType="end"/>
      </w:r>
      <w:r w:rsidR="009566A0">
        <w:t xml:space="preserve"> and</w:t>
      </w:r>
      <w:r w:rsidR="009566A0">
        <w:fldChar w:fldCharType="begin"/>
      </w:r>
      <w:r w:rsidR="009566A0">
        <w:instrText xml:space="preserve"> REF _Ref503425677 \r \h </w:instrText>
      </w:r>
      <w:r w:rsidR="009566A0">
        <w:fldChar w:fldCharType="separate"/>
      </w:r>
      <w:r w:rsidR="009566A0">
        <w:t>[7]</w:t>
      </w:r>
      <w:r w:rsidR="009566A0">
        <w:fldChar w:fldCharType="end"/>
      </w:r>
      <w:r w:rsidR="005730EE">
        <w:t>.</w:t>
      </w:r>
    </w:p>
    <w:p w14:paraId="5FF0E443" w14:textId="1ED94A6E" w:rsidR="00CD4C7B" w:rsidRPr="006E13D1" w:rsidRDefault="00B41564" w:rsidP="00CD4C7B">
      <w:pPr>
        <w:pStyle w:val="Heading1"/>
      </w:pPr>
      <w:r>
        <w:t>2</w:t>
      </w:r>
      <w:r>
        <w:tab/>
        <w:t>Discussion</w:t>
      </w:r>
    </w:p>
    <w:p w14:paraId="3771C9CA" w14:textId="014811BB" w:rsidR="00CD4C7B" w:rsidRDefault="00B41564" w:rsidP="00CD4C7B">
      <w:pPr>
        <w:pStyle w:val="Heading2"/>
      </w:pPr>
      <w:r>
        <w:t>2</w:t>
      </w:r>
      <w:r w:rsidR="00A97AC1">
        <w:t>.1</w:t>
      </w:r>
      <w:r w:rsidR="00A97AC1">
        <w:tab/>
      </w:r>
      <w:r w:rsidR="00211E44">
        <w:t>Deployment scenarios and use cases</w:t>
      </w:r>
    </w:p>
    <w:p w14:paraId="6F7243AB" w14:textId="32D4DA4D" w:rsidR="00154B59" w:rsidRDefault="00154B59" w:rsidP="00154B59">
      <w:pPr>
        <w:rPr>
          <w:lang w:val="en-US"/>
        </w:rPr>
      </w:pPr>
      <w:r>
        <w:rPr>
          <w:lang w:val="en-US"/>
        </w:rPr>
        <w:t xml:space="preserve">In </w:t>
      </w:r>
      <w:r w:rsidR="004859C8">
        <w:rPr>
          <w:lang w:val="en-US"/>
        </w:rPr>
        <w:t>[2]</w:t>
      </w:r>
      <w:r>
        <w:rPr>
          <w:lang w:val="en-US"/>
        </w:rPr>
        <w:t xml:space="preserve"> we have elaborated different scenarios.</w:t>
      </w:r>
      <w:r w:rsidRPr="00154B59">
        <w:t xml:space="preserve"> </w:t>
      </w:r>
      <w:r>
        <w:t>In our view, the IAB s</w:t>
      </w:r>
      <w:r w:rsidRPr="00154B59">
        <w:rPr>
          <w:lang w:val="en-US"/>
        </w:rPr>
        <w:t>tudy should consider the use cases based on 5 canonical purposes: Sparse Fiber Mitigation (SFM), Isolated Gap Remediation (IGR), Capacity Enhancements (CE), Coverage Bridging (CB) and Group Mobility (GM). Prioritize</w:t>
      </w:r>
      <w:r>
        <w:rPr>
          <w:lang w:val="en-US"/>
        </w:rPr>
        <w:t>d cases should be</w:t>
      </w:r>
      <w:r w:rsidRPr="00154B59">
        <w:rPr>
          <w:lang w:val="en-US"/>
        </w:rPr>
        <w:t xml:space="preserve"> SFM and IGR over CE, CB and GM.</w:t>
      </w:r>
    </w:p>
    <w:p w14:paraId="2AC78ED8" w14:textId="2C761193" w:rsidR="00F23C17" w:rsidRDefault="00F23C17" w:rsidP="00154B59">
      <w:pPr>
        <w:rPr>
          <w:lang w:val="en-US"/>
        </w:rPr>
      </w:pPr>
      <w:r w:rsidRPr="00BD0CF7">
        <w:rPr>
          <w:b/>
          <w:lang w:val="en-US"/>
        </w:rPr>
        <w:t>Propos</w:t>
      </w:r>
      <w:r w:rsidRPr="00330C44">
        <w:rPr>
          <w:b/>
          <w:lang w:val="en-US"/>
        </w:rPr>
        <w:t>al</w:t>
      </w:r>
      <w:r w:rsidR="00FD3BBA" w:rsidRPr="00330C44">
        <w:rPr>
          <w:b/>
          <w:lang w:val="en-US"/>
        </w:rPr>
        <w:t xml:space="preserve"> 1</w:t>
      </w:r>
      <w:r w:rsidRPr="489ACE2A">
        <w:rPr>
          <w:b/>
          <w:lang w:val="en-US"/>
        </w:rPr>
        <w:t xml:space="preserve">: </w:t>
      </w:r>
      <w:r w:rsidR="00040A13" w:rsidRPr="489ACE2A">
        <w:rPr>
          <w:b/>
          <w:lang w:val="en-US"/>
        </w:rPr>
        <w:t>IAB f</w:t>
      </w:r>
      <w:r w:rsidRPr="489ACE2A">
        <w:rPr>
          <w:b/>
          <w:lang w:val="en-US"/>
        </w:rPr>
        <w:t xml:space="preserve">ocus </w:t>
      </w:r>
      <w:r w:rsidR="00040A13" w:rsidRPr="489ACE2A">
        <w:rPr>
          <w:b/>
          <w:lang w:val="en-US"/>
        </w:rPr>
        <w:t xml:space="preserve">should be </w:t>
      </w:r>
      <w:r w:rsidRPr="489ACE2A">
        <w:rPr>
          <w:b/>
          <w:lang w:val="en-US"/>
        </w:rPr>
        <w:t>on coverage enhancements</w:t>
      </w:r>
      <w:r w:rsidR="007718C3" w:rsidRPr="489ACE2A">
        <w:rPr>
          <w:b/>
          <w:lang w:val="en-US"/>
        </w:rPr>
        <w:t xml:space="preserve"> prioritizing </w:t>
      </w:r>
      <w:r w:rsidR="008375D6" w:rsidRPr="489ACE2A">
        <w:rPr>
          <w:b/>
          <w:lang w:val="en-US"/>
        </w:rPr>
        <w:t>Sparse Fiber Mitigation (</w:t>
      </w:r>
      <w:r w:rsidRPr="489ACE2A">
        <w:rPr>
          <w:b/>
          <w:lang w:val="en-US"/>
        </w:rPr>
        <w:t>SFM</w:t>
      </w:r>
      <w:r w:rsidR="008375D6" w:rsidRPr="489ACE2A">
        <w:rPr>
          <w:b/>
          <w:lang w:val="en-US"/>
        </w:rPr>
        <w:t>)</w:t>
      </w:r>
      <w:r w:rsidRPr="489ACE2A">
        <w:rPr>
          <w:b/>
          <w:lang w:val="en-US"/>
        </w:rPr>
        <w:t xml:space="preserve"> and </w:t>
      </w:r>
      <w:r w:rsidR="008375D6" w:rsidRPr="489ACE2A">
        <w:rPr>
          <w:b/>
          <w:lang w:val="en-US"/>
        </w:rPr>
        <w:t>Isolated Gap Remediation (</w:t>
      </w:r>
      <w:r w:rsidRPr="489ACE2A">
        <w:rPr>
          <w:b/>
          <w:lang w:val="en-US"/>
        </w:rPr>
        <w:t>IGR</w:t>
      </w:r>
      <w:r w:rsidR="008375D6" w:rsidRPr="489ACE2A">
        <w:rPr>
          <w:b/>
          <w:lang w:val="en-US"/>
        </w:rPr>
        <w:t>)</w:t>
      </w:r>
      <w:r w:rsidR="00040A13" w:rsidRPr="489ACE2A">
        <w:rPr>
          <w:b/>
          <w:lang w:val="en-US"/>
        </w:rPr>
        <w:t xml:space="preserve"> cases</w:t>
      </w:r>
      <w:r>
        <w:rPr>
          <w:lang w:val="en-US"/>
        </w:rPr>
        <w:t>.</w:t>
      </w:r>
    </w:p>
    <w:p w14:paraId="4688206A" w14:textId="77777777" w:rsidR="00F23C17" w:rsidRPr="00154B59" w:rsidRDefault="00F23C17" w:rsidP="00154B59">
      <w:pPr>
        <w:rPr>
          <w:lang w:val="en-US"/>
        </w:rPr>
      </w:pPr>
    </w:p>
    <w:p w14:paraId="6DB7D4E2" w14:textId="0628BE33" w:rsidR="004C5924" w:rsidRDefault="004C5924" w:rsidP="004C5924">
      <w:pPr>
        <w:pStyle w:val="Heading2"/>
      </w:pPr>
      <w:r>
        <w:t>2.1</w:t>
      </w:r>
      <w:r>
        <w:tab/>
      </w:r>
      <w:r w:rsidR="00F23C17">
        <w:t>IAB node configurations</w:t>
      </w:r>
    </w:p>
    <w:p w14:paraId="2DA9A860" w14:textId="67A72DAB" w:rsidR="006B1F9A" w:rsidRDefault="006B1F9A" w:rsidP="006B1F9A">
      <w:pPr>
        <w:jc w:val="both"/>
      </w:pPr>
      <w:r>
        <w:t>An IAB node represents a co-located resource providing NR access coverage and backhauling.  As such, an IAB node may take on both the personality of UE for the transferring backhaul traffic or that of gNB serving connected UEs and forwarding backhaul traffic to the next hop.</w:t>
      </w:r>
    </w:p>
    <w:p w14:paraId="60AD30C8" w14:textId="77777777" w:rsidR="006B1F9A" w:rsidRDefault="006B1F9A" w:rsidP="006B1F9A">
      <w:pPr>
        <w:pStyle w:val="ListParagraph"/>
        <w:numPr>
          <w:ilvl w:val="0"/>
          <w:numId w:val="5"/>
        </w:numPr>
        <w:jc w:val="both"/>
      </w:pPr>
      <w:r>
        <w:t xml:space="preserve">Like a wired node, IAB node may serve one or more cells in a sectorized site with 3 sectors per site for hexagonal layout and 4 cells per site for an urban grid. </w:t>
      </w:r>
    </w:p>
    <w:p w14:paraId="6F35548D" w14:textId="77777777" w:rsidR="006B1F9A" w:rsidRDefault="006B1F9A" w:rsidP="006B1F9A">
      <w:pPr>
        <w:pStyle w:val="ListParagraph"/>
        <w:numPr>
          <w:ilvl w:val="0"/>
          <w:numId w:val="5"/>
        </w:numPr>
        <w:jc w:val="both"/>
      </w:pPr>
      <w:r>
        <w:t>Each cell (sector) may be configured independently being used for access or backhaul in concurrent slots.</w:t>
      </w:r>
    </w:p>
    <w:p w14:paraId="6BF994A4" w14:textId="77777777" w:rsidR="006B1F9A" w:rsidRDefault="006B1F9A" w:rsidP="006B1F9A">
      <w:pPr>
        <w:pStyle w:val="ListParagraph"/>
        <w:numPr>
          <w:ilvl w:val="0"/>
          <w:numId w:val="5"/>
        </w:numPr>
        <w:jc w:val="both"/>
      </w:pPr>
      <w:r>
        <w:t>Traffic may be forwarded internally within an IAB node being received in one cell and transmitted in another cell on a subsequent slot.</w:t>
      </w:r>
    </w:p>
    <w:p w14:paraId="54AC6B4B" w14:textId="47235DDE" w:rsidR="006B1F9A" w:rsidRDefault="006B1F9A" w:rsidP="006B1F9A">
      <w:pPr>
        <w:pStyle w:val="ListParagraph"/>
        <w:numPr>
          <w:ilvl w:val="0"/>
          <w:numId w:val="5"/>
        </w:numPr>
        <w:jc w:val="both"/>
      </w:pPr>
      <w:r>
        <w:t xml:space="preserve">Duplex constraints should be considered such that transmission and reception of IAB node may be coordinated in adjacent sectors when a TDD mode is prescribed  </w:t>
      </w:r>
    </w:p>
    <w:p w14:paraId="26D5B248" w14:textId="6D2D21E2" w:rsidR="00DD34D5" w:rsidRDefault="00F23C17" w:rsidP="006B1F9A">
      <w:pPr>
        <w:jc w:val="both"/>
        <w:rPr>
          <w:b/>
          <w:lang w:val="en-US"/>
        </w:rPr>
      </w:pPr>
      <w:r w:rsidRPr="00BD0CF7">
        <w:rPr>
          <w:b/>
          <w:lang w:val="en-US"/>
        </w:rPr>
        <w:t>Proposal</w:t>
      </w:r>
      <w:r w:rsidR="00FD3BBA" w:rsidRPr="00330C44">
        <w:rPr>
          <w:b/>
          <w:lang w:val="en-US"/>
        </w:rPr>
        <w:t xml:space="preserve"> 2</w:t>
      </w:r>
      <w:r w:rsidRPr="00330C44">
        <w:rPr>
          <w:b/>
          <w:lang w:val="en-US"/>
        </w:rPr>
        <w:t>:</w:t>
      </w:r>
      <w:r w:rsidRPr="489ACE2A">
        <w:rPr>
          <w:b/>
          <w:lang w:val="en-US"/>
        </w:rPr>
        <w:t xml:space="preserve"> IAB </w:t>
      </w:r>
      <w:r w:rsidR="00401A8D" w:rsidRPr="489ACE2A">
        <w:rPr>
          <w:b/>
          <w:lang w:val="en-US"/>
        </w:rPr>
        <w:t xml:space="preserve">operation shall consider </w:t>
      </w:r>
      <w:r w:rsidRPr="489ACE2A">
        <w:rPr>
          <w:b/>
          <w:lang w:val="en-US"/>
        </w:rPr>
        <w:t>duplex constraints</w:t>
      </w:r>
      <w:r w:rsidR="00401A8D" w:rsidRPr="489ACE2A">
        <w:rPr>
          <w:b/>
          <w:lang w:val="en-US"/>
        </w:rPr>
        <w:t xml:space="preserve"> while taking into account the IAB site configuration, i.e. antenna structures and sectorization</w:t>
      </w:r>
      <w:r w:rsidRPr="489ACE2A">
        <w:rPr>
          <w:b/>
          <w:lang w:val="en-US"/>
        </w:rPr>
        <w:t>.</w:t>
      </w:r>
    </w:p>
    <w:p w14:paraId="7F3B001E" w14:textId="77777777" w:rsidR="00F23C17" w:rsidRPr="00F23C17" w:rsidRDefault="00F23C17" w:rsidP="006B1F9A">
      <w:pPr>
        <w:jc w:val="both"/>
        <w:rPr>
          <w:lang w:val="en-US"/>
        </w:rPr>
      </w:pPr>
    </w:p>
    <w:p w14:paraId="349620AA" w14:textId="4D641440" w:rsidR="00DD34D5" w:rsidRDefault="00DD34D5" w:rsidP="00DD34D5">
      <w:pPr>
        <w:pStyle w:val="Heading2"/>
      </w:pPr>
      <w:r>
        <w:t>2</w:t>
      </w:r>
      <w:r w:rsidR="00BC76A0">
        <w:t>.2</w:t>
      </w:r>
      <w:r>
        <w:tab/>
        <w:t>Frequency bands</w:t>
      </w:r>
      <w:r w:rsidR="009804C6">
        <w:t xml:space="preserve"> and relaying modes</w:t>
      </w:r>
    </w:p>
    <w:p w14:paraId="2BF8CC83" w14:textId="77777777" w:rsidR="00FB5539" w:rsidRDefault="006B1F9A" w:rsidP="00FB5539">
      <w:pPr>
        <w:jc w:val="both"/>
      </w:pPr>
      <w:r>
        <w:rPr>
          <w:lang w:val="en-US"/>
        </w:rPr>
        <w:t>Regarding frequency bands, priority should be on the higher frequencies, i.e. bands above</w:t>
      </w:r>
      <w:r w:rsidRPr="00154B59">
        <w:rPr>
          <w:lang w:val="en-US"/>
        </w:rPr>
        <w:t xml:space="preserve"> 6 GHz</w:t>
      </w:r>
      <w:r w:rsidR="00FF39F3">
        <w:rPr>
          <w:lang w:val="en-US"/>
        </w:rPr>
        <w:t>.</w:t>
      </w:r>
      <w:r>
        <w:rPr>
          <w:lang w:val="en-US"/>
        </w:rPr>
        <w:t xml:space="preserve"> In-band relaying shall be the primary focus and out-band relaying </w:t>
      </w:r>
      <w:r w:rsidR="00FF39F3">
        <w:rPr>
          <w:lang w:val="en-US"/>
        </w:rPr>
        <w:t xml:space="preserve">can </w:t>
      </w:r>
      <w:r>
        <w:rPr>
          <w:lang w:val="en-US"/>
        </w:rPr>
        <w:t>be considered</w:t>
      </w:r>
      <w:r w:rsidRPr="00154B59">
        <w:rPr>
          <w:lang w:val="en-US"/>
        </w:rPr>
        <w:t xml:space="preserve"> as a special case of in</w:t>
      </w:r>
      <w:r>
        <w:rPr>
          <w:lang w:val="en-US"/>
        </w:rPr>
        <w:t>-</w:t>
      </w:r>
      <w:r w:rsidRPr="00154B59">
        <w:rPr>
          <w:lang w:val="en-US"/>
        </w:rPr>
        <w:t>band where access has zero UEs connected.</w:t>
      </w:r>
      <w:r w:rsidR="00FF39F3">
        <w:rPr>
          <w:lang w:val="en-US"/>
        </w:rPr>
        <w:t xml:space="preserve"> </w:t>
      </w:r>
      <w:r w:rsidR="00FF39F3">
        <w:t xml:space="preserve">The study item objective requires the “operation for both in-band and out-band relaying” and the workgroups should strive to achieve this end. </w:t>
      </w:r>
    </w:p>
    <w:p w14:paraId="2337690B" w14:textId="02CA7617" w:rsidR="006B1F9A" w:rsidRDefault="00FF39F3" w:rsidP="00FB5539">
      <w:pPr>
        <w:jc w:val="both"/>
      </w:pPr>
      <w:r>
        <w:lastRenderedPageBreak/>
        <w:t>Lower frequencies (&lt; 6 GHz) are limited and in high demand for providing access capacity.  Furthermore, lower frequencies are able to provide good coverage at conventional ISD making in</w:t>
      </w:r>
      <w:r w:rsidR="00BC76A0">
        <w:t>-</w:t>
      </w:r>
      <w:r>
        <w:t>band relay deployment less critical.  Lower frequencies may employ higher frequencies for backhaul.</w:t>
      </w:r>
    </w:p>
    <w:p w14:paraId="2C21022F" w14:textId="0CD9E9AD" w:rsidR="00FB5539" w:rsidRPr="00FB5539" w:rsidRDefault="00FB5539" w:rsidP="00FB5539">
      <w:pPr>
        <w:jc w:val="both"/>
        <w:rPr>
          <w:b/>
          <w:lang w:val="en-US"/>
        </w:rPr>
      </w:pPr>
      <w:r w:rsidRPr="00BD0CF7">
        <w:rPr>
          <w:b/>
        </w:rPr>
        <w:t>Proposal</w:t>
      </w:r>
      <w:r w:rsidR="00FD3BBA" w:rsidRPr="00BD0CF7">
        <w:rPr>
          <w:b/>
        </w:rPr>
        <w:t xml:space="preserve"> 3</w:t>
      </w:r>
      <w:r w:rsidRPr="00330C44">
        <w:rPr>
          <w:b/>
        </w:rPr>
        <w:t xml:space="preserve">: </w:t>
      </w:r>
      <w:r w:rsidR="00FD3BBA" w:rsidRPr="489ACE2A">
        <w:rPr>
          <w:b/>
        </w:rPr>
        <w:t>IAB f</w:t>
      </w:r>
      <w:r w:rsidRPr="489ACE2A">
        <w:rPr>
          <w:b/>
        </w:rPr>
        <w:t xml:space="preserve">ocus </w:t>
      </w:r>
      <w:r w:rsidR="00FD3BBA" w:rsidRPr="489ACE2A">
        <w:rPr>
          <w:b/>
        </w:rPr>
        <w:t xml:space="preserve">should be </w:t>
      </w:r>
      <w:r w:rsidRPr="489ACE2A">
        <w:rPr>
          <w:b/>
        </w:rPr>
        <w:t>on bands above 6GHz and in-band backhauling</w:t>
      </w:r>
      <w:r w:rsidR="00FD3BBA" w:rsidRPr="489ACE2A">
        <w:rPr>
          <w:b/>
        </w:rPr>
        <w:t xml:space="preserve"> </w:t>
      </w:r>
      <w:r w:rsidR="00040A13" w:rsidRPr="489ACE2A">
        <w:rPr>
          <w:b/>
        </w:rPr>
        <w:t>can be prioritized.</w:t>
      </w:r>
    </w:p>
    <w:p w14:paraId="0809DB48" w14:textId="77777777" w:rsidR="009E053C" w:rsidRPr="003424B3" w:rsidRDefault="009E053C" w:rsidP="00DC2F00">
      <w:pPr>
        <w:rPr>
          <w:lang w:val="en-US"/>
        </w:rPr>
      </w:pPr>
    </w:p>
    <w:p w14:paraId="0BC0348D" w14:textId="77777777" w:rsidR="00B518F9" w:rsidRDefault="00B518F9" w:rsidP="00B518F9">
      <w:pPr>
        <w:pStyle w:val="Heading2"/>
        <w:rPr>
          <w:lang w:val="en-US"/>
        </w:rPr>
      </w:pPr>
      <w:r>
        <w:rPr>
          <w:lang w:val="en-US"/>
        </w:rPr>
        <w:t>2.3</w:t>
      </w:r>
      <w:r w:rsidRPr="003424B3">
        <w:rPr>
          <w:lang w:val="en-US"/>
        </w:rPr>
        <w:tab/>
      </w:r>
      <w:r>
        <w:rPr>
          <w:lang w:val="en-US"/>
        </w:rPr>
        <w:t>Topologies</w:t>
      </w:r>
    </w:p>
    <w:p w14:paraId="67ACC164" w14:textId="6EFA7EA8" w:rsidR="00B518F9" w:rsidRDefault="00D326E8" w:rsidP="00B518F9">
      <w:pPr>
        <w:rPr>
          <w:lang w:val="en-US"/>
        </w:rPr>
      </w:pPr>
      <w:r>
        <w:rPr>
          <w:lang w:val="en-US"/>
        </w:rPr>
        <w:t xml:space="preserve">Regarding the topologies, following </w:t>
      </w:r>
      <w:r>
        <w:t>factors will be impacting the connectivity of IAB nodes and the formation of a topology</w:t>
      </w:r>
      <w:r>
        <w:rPr>
          <w:lang w:val="en-US"/>
        </w:rPr>
        <w:t xml:space="preserve"> and therefore should be considered </w:t>
      </w:r>
      <w:r w:rsidR="00625D95">
        <w:rPr>
          <w:lang w:val="en-US"/>
        </w:rPr>
        <w:t>in the IAB study, [3</w:t>
      </w:r>
      <w:r w:rsidR="00B518F9">
        <w:rPr>
          <w:lang w:val="en-US"/>
        </w:rPr>
        <w:t>]</w:t>
      </w:r>
      <w:r w:rsidR="00625D95">
        <w:rPr>
          <w:lang w:val="en-US"/>
        </w:rPr>
        <w:t>: Propagation, reliability, complexity and traffic load.</w:t>
      </w:r>
    </w:p>
    <w:p w14:paraId="00E5D244" w14:textId="4972FF04" w:rsidR="00B518F9" w:rsidRDefault="00E002CF" w:rsidP="00B518F9">
      <w:r w:rsidRPr="00BD0CF7">
        <w:rPr>
          <w:b/>
        </w:rPr>
        <w:t xml:space="preserve">Propagation:  </w:t>
      </w:r>
      <w:r w:rsidRPr="00CE1280">
        <w:t>IAB nodes may be deployed</w:t>
      </w:r>
      <w:r>
        <w:t xml:space="preserve"> for 5 fundamental use cases as discussed in </w:t>
      </w:r>
      <w:r>
        <w:fldChar w:fldCharType="begin"/>
      </w:r>
      <w:r>
        <w:instrText xml:space="preserve"> REF _Ref503374221 \r \h </w:instrText>
      </w:r>
      <w:r>
        <w:fldChar w:fldCharType="separate"/>
      </w:r>
      <w:r>
        <w:t>[2]</w:t>
      </w:r>
      <w:r>
        <w:fldChar w:fldCharType="end"/>
      </w:r>
      <w:r>
        <w:t xml:space="preserve">.  Regarding the coverage, the challenges are especially at the higher frequencies (&gt; 6GHz) where the signal is easily blocked and </w:t>
      </w:r>
      <w:r w:rsidR="00BC7CDC">
        <w:t>connection quality is largely dependent on the LOS probability</w:t>
      </w:r>
      <w:r>
        <w:t xml:space="preserve">. </w:t>
      </w:r>
      <w:r w:rsidR="00BC7CDC">
        <w:t>The hop limit should not be strictly specified but should instead be governed by the propagation environment.</w:t>
      </w:r>
    </w:p>
    <w:p w14:paraId="5BAE16BE" w14:textId="5FD12E67" w:rsidR="00BC7CDC" w:rsidRDefault="00BC7CDC" w:rsidP="00B518F9">
      <w:pPr>
        <w:rPr>
          <w:lang w:val="en-US"/>
        </w:rPr>
      </w:pPr>
      <w:r w:rsidRPr="00BD0CF7">
        <w:rPr>
          <w:b/>
          <w:lang w:val="en-US"/>
        </w:rPr>
        <w:t>Reliability:</w:t>
      </w:r>
      <w:r w:rsidRPr="00BC7CDC">
        <w:rPr>
          <w:lang w:val="en-US"/>
        </w:rPr>
        <w:t xml:space="preserve"> The IAB connectivity via multiple fiber connected donor nodes should be supported for reliability.   An IAB node must be able to discover cells and monitor the radio channel(s), similar to a UE, to identify potential attachment points.   Should a serving link be blocked, </w:t>
      </w:r>
      <w:r>
        <w:rPr>
          <w:lang w:val="en-US"/>
        </w:rPr>
        <w:t xml:space="preserve">the </w:t>
      </w:r>
      <w:r w:rsidRPr="00BC7CDC">
        <w:rPr>
          <w:lang w:val="en-US"/>
        </w:rPr>
        <w:t>backhaul connection need to be transferre</w:t>
      </w:r>
      <w:r>
        <w:rPr>
          <w:lang w:val="en-US"/>
        </w:rPr>
        <w:t>d to another attachment point.</w:t>
      </w:r>
    </w:p>
    <w:p w14:paraId="31C04B4F" w14:textId="3361D02D" w:rsidR="00625D95" w:rsidRDefault="00BC7CDC" w:rsidP="00B518F9">
      <w:r w:rsidRPr="00BD0CF7">
        <w:rPr>
          <w:b/>
        </w:rPr>
        <w:t>Complexity</w:t>
      </w:r>
      <w:r>
        <w:t>: While redundant IAB connectivity is necessary, the complexity associated with the that connectivity needs to be studied. Issues to be considered are e.g.: number of maintained alternative paths, related overhead, antenna structures, etc.</w:t>
      </w:r>
    </w:p>
    <w:p w14:paraId="4A7C1DB2" w14:textId="78AA6C32" w:rsidR="00BC7CDC" w:rsidRDefault="00BC7CDC" w:rsidP="00B518F9">
      <w:r w:rsidRPr="00BD0CF7">
        <w:rPr>
          <w:b/>
        </w:rPr>
        <w:t>Traffic Load</w:t>
      </w:r>
      <w:r>
        <w:t xml:space="preserve">:  The relative load of alternate paths and congestion </w:t>
      </w:r>
      <w:r w:rsidR="003619A0">
        <w:t xml:space="preserve">(in addition to radio conditions) </w:t>
      </w:r>
      <w:r>
        <w:t xml:space="preserve">should be taken into account </w:t>
      </w:r>
      <w:r w:rsidR="003619A0">
        <w:t>when selecting optimum path for backhauling.</w:t>
      </w:r>
    </w:p>
    <w:p w14:paraId="3D05AC35" w14:textId="585957D6" w:rsidR="00FB5539" w:rsidRPr="00FB5539" w:rsidRDefault="00FB5539" w:rsidP="00B518F9">
      <w:pPr>
        <w:rPr>
          <w:b/>
        </w:rPr>
      </w:pPr>
      <w:r w:rsidRPr="00BD0CF7">
        <w:rPr>
          <w:b/>
        </w:rPr>
        <w:t>Proposal</w:t>
      </w:r>
      <w:r w:rsidR="00040A13" w:rsidRPr="00BD0CF7">
        <w:rPr>
          <w:b/>
        </w:rPr>
        <w:t xml:space="preserve"> 4</w:t>
      </w:r>
      <w:r w:rsidRPr="00330C44">
        <w:rPr>
          <w:b/>
        </w:rPr>
        <w:t>: The number of hops is determined by the propagation envi</w:t>
      </w:r>
      <w:r w:rsidR="00FD3BBA" w:rsidRPr="489ACE2A">
        <w:rPr>
          <w:b/>
        </w:rPr>
        <w:t>ronment where topology is constructed to maximize system spectral efficiency and minimize latency.  No specified limit on number of hops</w:t>
      </w:r>
      <w:r w:rsidR="005730EE">
        <w:rPr>
          <w:b/>
        </w:rPr>
        <w:t xml:space="preserve"> should be determined</w:t>
      </w:r>
      <w:r w:rsidR="00FD3BBA" w:rsidRPr="489ACE2A">
        <w:rPr>
          <w:b/>
        </w:rPr>
        <w:t>, however, hop count unlikely to exceed 4.</w:t>
      </w:r>
    </w:p>
    <w:p w14:paraId="74BC2CDF" w14:textId="77777777" w:rsidR="00BC7CDC" w:rsidRPr="00B518F9" w:rsidRDefault="00BC7CDC" w:rsidP="00B518F9">
      <w:pPr>
        <w:rPr>
          <w:lang w:val="en-US"/>
        </w:rPr>
      </w:pPr>
    </w:p>
    <w:p w14:paraId="1946FBB2" w14:textId="72BEBEB4" w:rsidR="00F0255A" w:rsidRDefault="003619A0" w:rsidP="00F0255A">
      <w:pPr>
        <w:pStyle w:val="Heading2"/>
        <w:rPr>
          <w:lang w:val="en-US"/>
        </w:rPr>
      </w:pPr>
      <w:r>
        <w:rPr>
          <w:lang w:val="en-US"/>
        </w:rPr>
        <w:t>2.4</w:t>
      </w:r>
      <w:r w:rsidR="00F0255A" w:rsidRPr="003424B3">
        <w:rPr>
          <w:lang w:val="en-US"/>
        </w:rPr>
        <w:tab/>
      </w:r>
      <w:r w:rsidR="00211E44">
        <w:rPr>
          <w:lang w:val="en-US"/>
        </w:rPr>
        <w:t>Architecture and protocols</w:t>
      </w:r>
    </w:p>
    <w:p w14:paraId="575D7FEB" w14:textId="552A9317" w:rsidR="00211E44" w:rsidRDefault="008313A7" w:rsidP="00211E44">
      <w:pPr>
        <w:rPr>
          <w:lang w:val="en-US"/>
        </w:rPr>
      </w:pPr>
      <w:r>
        <w:rPr>
          <w:lang w:val="en-US"/>
        </w:rPr>
        <w:t xml:space="preserve">In </w:t>
      </w:r>
      <w:r w:rsidR="004859C8">
        <w:rPr>
          <w:lang w:val="en-US"/>
        </w:rPr>
        <w:t>[</w:t>
      </w:r>
      <w:r>
        <w:rPr>
          <w:lang w:val="en-US"/>
        </w:rPr>
        <w:t>4</w:t>
      </w:r>
      <w:r w:rsidR="004859C8">
        <w:rPr>
          <w:lang w:val="en-US"/>
        </w:rPr>
        <w:t>]</w:t>
      </w:r>
      <w:r>
        <w:rPr>
          <w:lang w:val="en-US"/>
        </w:rPr>
        <w:t xml:space="preserve"> and [5</w:t>
      </w:r>
      <w:r w:rsidR="00CF5110">
        <w:rPr>
          <w:lang w:val="en-US"/>
        </w:rPr>
        <w:t>]</w:t>
      </w:r>
      <w:r>
        <w:rPr>
          <w:lang w:val="en-US"/>
        </w:rPr>
        <w:t xml:space="preserve"> we have elaborated two options for relaying, namely: MAC adaptation layer and IAB as a connectivity service.</w:t>
      </w:r>
    </w:p>
    <w:p w14:paraId="2D187E20" w14:textId="33980BD1" w:rsidR="008313A7" w:rsidRDefault="008313A7" w:rsidP="008313A7">
      <w:pPr>
        <w:spacing w:after="60"/>
        <w:jc w:val="both"/>
        <w:rPr>
          <w:lang w:val="en-US"/>
        </w:rPr>
      </w:pPr>
      <w:r>
        <w:rPr>
          <w:lang w:val="en-US"/>
        </w:rPr>
        <w:t>MAC adaptation layer based IAB (L2 relaying) provides the following benefits:</w:t>
      </w:r>
    </w:p>
    <w:p w14:paraId="1FAB6B51" w14:textId="77777777" w:rsidR="008313A7" w:rsidRDefault="008313A7" w:rsidP="008313A7">
      <w:pPr>
        <w:pStyle w:val="B1"/>
        <w:spacing w:after="60"/>
        <w:jc w:val="both"/>
        <w:rPr>
          <w:lang w:val="en-US"/>
        </w:rPr>
      </w:pPr>
      <w:r>
        <w:rPr>
          <w:lang w:val="en-US"/>
        </w:rPr>
        <w:t>-</w:t>
      </w:r>
      <w:r>
        <w:rPr>
          <w:lang w:val="en-US"/>
        </w:rPr>
        <w:tab/>
        <w:t xml:space="preserve">Individual </w:t>
      </w:r>
      <w:r w:rsidRPr="00DD209F">
        <w:rPr>
          <w:lang w:val="en-US"/>
        </w:rPr>
        <w:t xml:space="preserve">UE visibility in Donor gNB </w:t>
      </w:r>
      <w:r>
        <w:rPr>
          <w:lang w:val="en-US"/>
        </w:rPr>
        <w:t>and intermediate IAB nodes important from MAC scheduler point of view</w:t>
      </w:r>
    </w:p>
    <w:p w14:paraId="0E40C62A" w14:textId="77777777" w:rsidR="008313A7" w:rsidRPr="00DD209F" w:rsidRDefault="008313A7" w:rsidP="008313A7">
      <w:pPr>
        <w:pStyle w:val="B1"/>
        <w:spacing w:after="60"/>
        <w:jc w:val="both"/>
        <w:rPr>
          <w:lang w:val="en-US"/>
        </w:rPr>
      </w:pPr>
      <w:r>
        <w:rPr>
          <w:lang w:val="en-US"/>
        </w:rPr>
        <w:t>-</w:t>
      </w:r>
      <w:r>
        <w:rPr>
          <w:lang w:val="en-US"/>
        </w:rPr>
        <w:tab/>
      </w:r>
      <w:r w:rsidRPr="00DD209F">
        <w:rPr>
          <w:lang w:val="en-US"/>
        </w:rPr>
        <w:t>Reduced “tunneling” overhead on IAB to gNB link</w:t>
      </w:r>
    </w:p>
    <w:p w14:paraId="65FEF486" w14:textId="77777777" w:rsidR="008313A7" w:rsidRPr="00DD209F" w:rsidRDefault="008313A7" w:rsidP="008313A7">
      <w:pPr>
        <w:pStyle w:val="B1"/>
        <w:spacing w:after="60"/>
        <w:jc w:val="both"/>
        <w:rPr>
          <w:lang w:val="en-US"/>
        </w:rPr>
      </w:pPr>
      <w:r>
        <w:rPr>
          <w:lang w:val="en-US"/>
        </w:rPr>
        <w:t>-</w:t>
      </w:r>
      <w:r>
        <w:rPr>
          <w:lang w:val="en-US"/>
        </w:rPr>
        <w:tab/>
      </w:r>
      <w:r w:rsidRPr="00DD209F">
        <w:rPr>
          <w:lang w:val="en-US"/>
        </w:rPr>
        <w:t>Aggregat</w:t>
      </w:r>
      <w:r>
        <w:rPr>
          <w:lang w:val="en-US"/>
        </w:rPr>
        <w:t>ion of packets of many UEs in backhaul</w:t>
      </w:r>
      <w:r w:rsidRPr="00DD209F">
        <w:rPr>
          <w:lang w:val="en-US"/>
        </w:rPr>
        <w:t xml:space="preserve"> links</w:t>
      </w:r>
    </w:p>
    <w:p w14:paraId="00F7AC86" w14:textId="70F88389" w:rsidR="008313A7" w:rsidRPr="00DD209F" w:rsidRDefault="008313A7" w:rsidP="008313A7">
      <w:pPr>
        <w:pStyle w:val="B1"/>
        <w:spacing w:after="60"/>
        <w:jc w:val="both"/>
        <w:rPr>
          <w:lang w:val="en-US"/>
        </w:rPr>
      </w:pPr>
      <w:r>
        <w:rPr>
          <w:lang w:val="en-US"/>
        </w:rPr>
        <w:t>-</w:t>
      </w:r>
      <w:r>
        <w:rPr>
          <w:lang w:val="en-US"/>
        </w:rPr>
        <w:tab/>
      </w:r>
      <w:r w:rsidRPr="00DD209F">
        <w:rPr>
          <w:lang w:val="en-US"/>
        </w:rPr>
        <w:t xml:space="preserve">Supports CU/DU split, IAB </w:t>
      </w:r>
      <w:r w:rsidR="004A0483">
        <w:rPr>
          <w:lang w:val="en-US"/>
        </w:rPr>
        <w:t>n</w:t>
      </w:r>
      <w:r w:rsidRPr="00DD209F">
        <w:rPr>
          <w:lang w:val="en-US"/>
        </w:rPr>
        <w:t>odes similar to DUs</w:t>
      </w:r>
    </w:p>
    <w:p w14:paraId="38A23D1D" w14:textId="77777777" w:rsidR="008313A7" w:rsidRDefault="008313A7" w:rsidP="008313A7">
      <w:pPr>
        <w:pStyle w:val="B1"/>
        <w:jc w:val="both"/>
        <w:rPr>
          <w:lang w:val="en-US"/>
        </w:rPr>
      </w:pPr>
      <w:r>
        <w:rPr>
          <w:lang w:val="en-US"/>
        </w:rPr>
        <w:t>-</w:t>
      </w:r>
      <w:r>
        <w:rPr>
          <w:lang w:val="en-US"/>
        </w:rPr>
        <w:tab/>
      </w:r>
      <w:r w:rsidRPr="00DD209F">
        <w:rPr>
          <w:lang w:val="en-US"/>
        </w:rPr>
        <w:t xml:space="preserve">Reduced protocol processing at IAB </w:t>
      </w:r>
      <w:r>
        <w:rPr>
          <w:lang w:val="en-US"/>
        </w:rPr>
        <w:t xml:space="preserve">nodes </w:t>
      </w:r>
      <w:r w:rsidRPr="00DD209F">
        <w:rPr>
          <w:lang w:val="en-US"/>
        </w:rPr>
        <w:t xml:space="preserve">leading to </w:t>
      </w:r>
      <w:r>
        <w:rPr>
          <w:lang w:val="en-US"/>
        </w:rPr>
        <w:t xml:space="preserve">slightly </w:t>
      </w:r>
      <w:r w:rsidRPr="00DD209F">
        <w:rPr>
          <w:lang w:val="en-US"/>
        </w:rPr>
        <w:t>lower latency</w:t>
      </w:r>
    </w:p>
    <w:p w14:paraId="332F74DE" w14:textId="77777777" w:rsidR="0098738B" w:rsidRDefault="008313A7" w:rsidP="008313A7">
      <w:pPr>
        <w:jc w:val="both"/>
      </w:pPr>
      <w:r w:rsidRPr="00CD0847">
        <w:t>In R15 3GPP defined</w:t>
      </w:r>
      <w:r>
        <w:t xml:space="preserve"> PDU Connectivity Services to enable the exchange of PDUs between a UE and a data network.  3GPP furthermore defined via network slicing, a mechanism to customize a connectivity service to the needs of a specific use case and isolate that service from other services with different needs.</w:t>
      </w:r>
      <w:r w:rsidR="00277FC0">
        <w:t xml:space="preserve"> Self-backhaul hops may be viewed as fitting within the scope of a PDU Connectivity Service that uses a dedicated network slice which is customized to meet the needs of IAB.  </w:t>
      </w:r>
    </w:p>
    <w:p w14:paraId="12687DC2" w14:textId="4567A5F5" w:rsidR="0098738B" w:rsidRDefault="0098738B" w:rsidP="008313A7">
      <w:pPr>
        <w:jc w:val="both"/>
      </w:pPr>
      <w:r>
        <w:t>Connectivity Service based IAB provides the following benefits:</w:t>
      </w:r>
    </w:p>
    <w:p w14:paraId="33D5DEC6" w14:textId="42211BF0" w:rsidR="0098738B" w:rsidRDefault="00277FC0" w:rsidP="00310AF9">
      <w:pPr>
        <w:pStyle w:val="ListParagraph"/>
        <w:numPr>
          <w:ilvl w:val="0"/>
          <w:numId w:val="7"/>
        </w:numPr>
        <w:jc w:val="both"/>
      </w:pPr>
      <w:r>
        <w:t xml:space="preserve">Virtual isolation separates the resources used to serve the </w:t>
      </w:r>
      <w:r w:rsidR="004A0483">
        <w:t>IAB n</w:t>
      </w:r>
      <w:r>
        <w:t xml:space="preserve">ode </w:t>
      </w:r>
      <w:bookmarkStart w:id="1" w:name="_GoBack"/>
      <w:bookmarkEnd w:id="1"/>
      <w:r>
        <w:t>UE from the resources required to provide subscriber access.</w:t>
      </w:r>
      <w:r w:rsidR="00047634">
        <w:t xml:space="preserve"> </w:t>
      </w:r>
    </w:p>
    <w:p w14:paraId="028AFD7C" w14:textId="2439200D" w:rsidR="0098738B" w:rsidRDefault="00770D8C" w:rsidP="00310AF9">
      <w:pPr>
        <w:pStyle w:val="ListParagraph"/>
        <w:numPr>
          <w:ilvl w:val="0"/>
          <w:numId w:val="7"/>
        </w:numPr>
        <w:jc w:val="both"/>
      </w:pPr>
      <w:r>
        <w:t>The a</w:t>
      </w:r>
      <w:r w:rsidR="00047634">
        <w:t>ccess UE</w:t>
      </w:r>
      <w:r w:rsidR="00047634" w:rsidRPr="007F75DB">
        <w:t xml:space="preserve"> tra</w:t>
      </w:r>
      <w:r w:rsidR="00047634">
        <w:t xml:space="preserve">ffic is aggregated and carried over the </w:t>
      </w:r>
      <w:r w:rsidR="004A0483">
        <w:t>IAB node</w:t>
      </w:r>
      <w:r w:rsidR="004A0483" w:rsidRPr="007F75DB">
        <w:t xml:space="preserve"> </w:t>
      </w:r>
      <w:r w:rsidR="00047634" w:rsidRPr="007F75DB">
        <w:t>PDU session</w:t>
      </w:r>
      <w:r w:rsidR="00047634">
        <w:t>s</w:t>
      </w:r>
      <w:r>
        <w:t>.</w:t>
      </w:r>
      <w:r w:rsidR="00277FC0">
        <w:t xml:space="preserve"> </w:t>
      </w:r>
    </w:p>
    <w:p w14:paraId="00EF092E" w14:textId="39977929" w:rsidR="008313A7" w:rsidRDefault="0098738B" w:rsidP="00310AF9">
      <w:pPr>
        <w:pStyle w:val="ListParagraph"/>
        <w:numPr>
          <w:ilvl w:val="0"/>
          <w:numId w:val="7"/>
        </w:numPr>
        <w:jc w:val="both"/>
      </w:pPr>
      <w:r>
        <w:t>S</w:t>
      </w:r>
      <w:r w:rsidR="00277FC0" w:rsidRPr="0098738B">
        <w:t>tandardization effort</w:t>
      </w:r>
      <w:r>
        <w:t xml:space="preserve"> is minimized</w:t>
      </w:r>
      <w:r w:rsidR="00277FC0" w:rsidRPr="0098738B">
        <w:t xml:space="preserve"> since the </w:t>
      </w:r>
      <w:r w:rsidR="004A0483">
        <w:t xml:space="preserve">IAB node </w:t>
      </w:r>
      <w:r w:rsidR="00277FC0" w:rsidRPr="0098738B">
        <w:t>may behave as a “normal” UE that attaches to the network.</w:t>
      </w:r>
    </w:p>
    <w:p w14:paraId="70B95613" w14:textId="7CC9A159" w:rsidR="0098738B" w:rsidRDefault="0098738B" w:rsidP="00310AF9">
      <w:pPr>
        <w:pStyle w:val="ListParagraph"/>
        <w:numPr>
          <w:ilvl w:val="0"/>
          <w:numId w:val="7"/>
        </w:numPr>
        <w:jc w:val="both"/>
      </w:pPr>
      <w:r>
        <w:t>Any PDU (F1, N3, Wifi, LTE, OA&amp;M, etc.) may be transported using the same mechanism</w:t>
      </w:r>
    </w:p>
    <w:p w14:paraId="692ABCFC" w14:textId="2BA7062B" w:rsidR="0098738B" w:rsidRPr="0098738B" w:rsidRDefault="00834C9C" w:rsidP="00310AF9">
      <w:pPr>
        <w:pStyle w:val="ListParagraph"/>
        <w:numPr>
          <w:ilvl w:val="0"/>
          <w:numId w:val="7"/>
        </w:numPr>
        <w:jc w:val="both"/>
      </w:pPr>
      <w:r>
        <w:t>It can support</w:t>
      </w:r>
      <w:r w:rsidR="0098738B">
        <w:t xml:space="preserve"> </w:t>
      </w:r>
      <w:r>
        <w:t xml:space="preserve">several </w:t>
      </w:r>
      <w:r w:rsidR="0098738B">
        <w:t xml:space="preserve">architecture options </w:t>
      </w:r>
      <w:r w:rsidR="00330C44">
        <w:t xml:space="preserve">(CU/DU Split, </w:t>
      </w:r>
      <w:r w:rsidR="0098738B">
        <w:t>Full RAN, etc.)</w:t>
      </w:r>
      <w:r w:rsidR="00352A08">
        <w:t xml:space="preserve"> for </w:t>
      </w:r>
      <w:r w:rsidR="0098738B">
        <w:t>different deployment scenario</w:t>
      </w:r>
      <w:r>
        <w:t>s</w:t>
      </w:r>
      <w:r w:rsidR="0098738B">
        <w:t xml:space="preserve">. </w:t>
      </w:r>
    </w:p>
    <w:p w14:paraId="430F505C" w14:textId="75854B31" w:rsidR="008313A7" w:rsidRDefault="008313A7" w:rsidP="008313A7">
      <w:pPr>
        <w:jc w:val="both"/>
        <w:rPr>
          <w:lang w:val="en-US"/>
        </w:rPr>
      </w:pPr>
      <w:r>
        <w:rPr>
          <w:lang w:val="en-US"/>
        </w:rPr>
        <w:lastRenderedPageBreak/>
        <w:t>To our understanding the two alternative approaches, MAC adaptation layer based IAB and IAB as a connectivity service, are feasible options for relaying and should be studied further in the 3GPP IAB Study Item and included into the technical report.</w:t>
      </w:r>
    </w:p>
    <w:p w14:paraId="15A28639" w14:textId="684AAD71" w:rsidR="007B6543" w:rsidRPr="007B6543" w:rsidRDefault="007B6543" w:rsidP="008313A7">
      <w:pPr>
        <w:jc w:val="both"/>
        <w:rPr>
          <w:b/>
          <w:lang w:val="en-US"/>
        </w:rPr>
      </w:pPr>
      <w:r w:rsidRPr="00BD0CF7">
        <w:rPr>
          <w:b/>
          <w:lang w:val="en-US"/>
        </w:rPr>
        <w:t>Proposal</w:t>
      </w:r>
      <w:r w:rsidR="00040A13" w:rsidRPr="00330C44">
        <w:rPr>
          <w:b/>
          <w:lang w:val="en-US"/>
        </w:rPr>
        <w:t xml:space="preserve"> 5</w:t>
      </w:r>
      <w:r w:rsidRPr="00330C44">
        <w:rPr>
          <w:b/>
          <w:lang w:val="en-US"/>
        </w:rPr>
        <w:t xml:space="preserve">: Both solutions, MAC adaptation layer </w:t>
      </w:r>
      <w:r w:rsidR="489ACE2A" w:rsidRPr="00330C44">
        <w:rPr>
          <w:b/>
          <w:bCs/>
          <w:lang w:val="en-US"/>
        </w:rPr>
        <w:t xml:space="preserve">based IAB </w:t>
      </w:r>
      <w:r w:rsidRPr="00330C44">
        <w:rPr>
          <w:b/>
          <w:lang w:val="en-US"/>
        </w:rPr>
        <w:t>and IAB as a connectivity service, should be included in the IAB SI for further elaboration.</w:t>
      </w:r>
    </w:p>
    <w:p w14:paraId="42DA108E" w14:textId="6AC4153E" w:rsidR="00CF5110" w:rsidRDefault="00B82F49" w:rsidP="00211E44">
      <w:pPr>
        <w:rPr>
          <w:lang w:val="en-US"/>
        </w:rPr>
      </w:pPr>
      <w:r>
        <w:rPr>
          <w:lang w:val="en-US"/>
        </w:rPr>
        <w:t xml:space="preserve">IAB relaying should be possible in both stand-alone (SA) and non-stand-alone (NSA) deployments. </w:t>
      </w:r>
      <w:r w:rsidR="00704F17">
        <w:rPr>
          <w:lang w:val="en-US"/>
        </w:rPr>
        <w:t>The complexity of the IAB in SA network will be lower as it can be implemented as a single radio system. NSA operation requires LTE radio and connection for control plane signaling. There will be also some NSA specific issues to consider, like IAB node UE part capabilities and requirements [6]</w:t>
      </w:r>
      <w:r w:rsidR="00E06485">
        <w:rPr>
          <w:lang w:val="en-US"/>
        </w:rPr>
        <w:t>.</w:t>
      </w:r>
    </w:p>
    <w:p w14:paraId="7F6FE9ED" w14:textId="390856FE" w:rsidR="00E06485" w:rsidRPr="00E06485" w:rsidRDefault="00E06485" w:rsidP="00211E44">
      <w:pPr>
        <w:rPr>
          <w:b/>
          <w:lang w:val="en-US"/>
        </w:rPr>
      </w:pPr>
      <w:r w:rsidRPr="00BD0CF7">
        <w:rPr>
          <w:b/>
          <w:lang w:val="en-US"/>
        </w:rPr>
        <w:t>Pro</w:t>
      </w:r>
      <w:r w:rsidR="00FD3BBA" w:rsidRPr="00330C44">
        <w:rPr>
          <w:b/>
          <w:lang w:val="en-US"/>
        </w:rPr>
        <w:t>posal</w:t>
      </w:r>
      <w:r w:rsidR="00040A13" w:rsidRPr="00330C44">
        <w:rPr>
          <w:b/>
          <w:lang w:val="en-US"/>
        </w:rPr>
        <w:t xml:space="preserve"> 6</w:t>
      </w:r>
      <w:r w:rsidR="00FD3BBA" w:rsidRPr="00330C44">
        <w:rPr>
          <w:b/>
          <w:lang w:val="en-US"/>
        </w:rPr>
        <w:t xml:space="preserve">: IAB should be studied for NR SA as well as NSA networks although somewhat different </w:t>
      </w:r>
      <w:r w:rsidR="00FD3BBA" w:rsidRPr="489ACE2A">
        <w:rPr>
          <w:b/>
          <w:lang w:val="en-US"/>
        </w:rPr>
        <w:t>operation and characteristics of the two cases</w:t>
      </w:r>
      <w:r w:rsidR="005730EE">
        <w:rPr>
          <w:b/>
          <w:lang w:val="en-US"/>
        </w:rPr>
        <w:t xml:space="preserve"> need to be </w:t>
      </w:r>
      <w:r w:rsidR="005730EE" w:rsidRPr="00330C44">
        <w:rPr>
          <w:b/>
          <w:lang w:val="en-US"/>
        </w:rPr>
        <w:t>consider</w:t>
      </w:r>
      <w:r w:rsidR="005730EE">
        <w:rPr>
          <w:b/>
          <w:lang w:val="en-US"/>
        </w:rPr>
        <w:t>ed</w:t>
      </w:r>
      <w:r w:rsidR="00FD3BBA" w:rsidRPr="489ACE2A">
        <w:rPr>
          <w:b/>
          <w:lang w:val="en-US"/>
        </w:rPr>
        <w:t>. No changes to LTE</w:t>
      </w:r>
      <w:r w:rsidR="005730EE">
        <w:rPr>
          <w:b/>
          <w:lang w:val="en-US"/>
        </w:rPr>
        <w:t xml:space="preserve"> are</w:t>
      </w:r>
      <w:r w:rsidR="00FD3BBA" w:rsidRPr="489ACE2A">
        <w:rPr>
          <w:b/>
          <w:lang w:val="en-US"/>
        </w:rPr>
        <w:t xml:space="preserve"> expected in support of IAB in LTE/NR dual connectivity.</w:t>
      </w:r>
    </w:p>
    <w:p w14:paraId="26A2B104" w14:textId="77777777" w:rsidR="00B82F49" w:rsidRPr="00211E44" w:rsidRDefault="00B82F49" w:rsidP="00211E44">
      <w:pPr>
        <w:rPr>
          <w:lang w:val="en-US"/>
        </w:rPr>
      </w:pPr>
    </w:p>
    <w:p w14:paraId="5AFBA9E2" w14:textId="5067CE86" w:rsidR="004859C8" w:rsidRDefault="003619A0" w:rsidP="004859C8">
      <w:pPr>
        <w:pStyle w:val="Heading2"/>
        <w:rPr>
          <w:lang w:val="en-US"/>
        </w:rPr>
      </w:pPr>
      <w:r>
        <w:rPr>
          <w:lang w:val="en-US"/>
        </w:rPr>
        <w:t>2.5</w:t>
      </w:r>
      <w:r w:rsidR="004859C8" w:rsidRPr="003424B3">
        <w:rPr>
          <w:lang w:val="en-US"/>
        </w:rPr>
        <w:tab/>
      </w:r>
      <w:r w:rsidR="004859C8">
        <w:rPr>
          <w:lang w:val="en-US"/>
        </w:rPr>
        <w:t>Evaluation methods</w:t>
      </w:r>
    </w:p>
    <w:p w14:paraId="068B6356" w14:textId="2EA31BE2" w:rsidR="003619A0" w:rsidRPr="003619A0" w:rsidRDefault="003619A0" w:rsidP="003619A0">
      <w:r>
        <w:t>Based on the analysis in [</w:t>
      </w:r>
      <w:r>
        <w:t xml:space="preserve">7] we </w:t>
      </w:r>
      <w:r w:rsidR="00451F19">
        <w:t xml:space="preserve">propose </w:t>
      </w:r>
      <w:r w:rsidR="005B1DC7">
        <w:t xml:space="preserve">that </w:t>
      </w:r>
      <w:r w:rsidRPr="003619A0">
        <w:t>IAB evaluation</w:t>
      </w:r>
      <w:r w:rsidR="005B1DC7">
        <w:t>s</w:t>
      </w:r>
      <w:r w:rsidRPr="003619A0">
        <w:t xml:space="preserve"> should </w:t>
      </w:r>
      <w:r w:rsidR="005B1DC7">
        <w:t>re</w:t>
      </w:r>
      <w:r w:rsidRPr="003619A0">
        <w:t>use the urban and dense urban scenarios d</w:t>
      </w:r>
      <w:r w:rsidR="00EE3955">
        <w:t xml:space="preserve">efined in Table A.2.1-1 of </w:t>
      </w:r>
      <w:r w:rsidR="009566A0">
        <w:fldChar w:fldCharType="begin"/>
      </w:r>
      <w:r w:rsidR="009566A0">
        <w:instrText xml:space="preserve"> REF _Ref503291473 \r \h </w:instrText>
      </w:r>
      <w:r w:rsidR="009566A0">
        <w:fldChar w:fldCharType="separate"/>
      </w:r>
      <w:r w:rsidR="009566A0">
        <w:t>[8]</w:t>
      </w:r>
      <w:r w:rsidR="009566A0">
        <w:fldChar w:fldCharType="end"/>
      </w:r>
      <w:r w:rsidRPr="003619A0">
        <w:t xml:space="preserve"> as modified by the flexible duplex </w:t>
      </w:r>
      <w:r w:rsidR="00EE3955">
        <w:t xml:space="preserve">scenario in Table A.2.1-11 of </w:t>
      </w:r>
      <w:r w:rsidR="009566A0">
        <w:fldChar w:fldCharType="begin"/>
      </w:r>
      <w:r w:rsidR="009566A0">
        <w:instrText xml:space="preserve"> REF _Ref503291473 \r \h </w:instrText>
      </w:r>
      <w:r w:rsidR="009566A0">
        <w:fldChar w:fldCharType="separate"/>
      </w:r>
      <w:r w:rsidR="009566A0">
        <w:t>[8]</w:t>
      </w:r>
      <w:r w:rsidR="009566A0">
        <w:fldChar w:fldCharType="end"/>
      </w:r>
      <w:r w:rsidRPr="003619A0">
        <w:t>]</w:t>
      </w:r>
      <w:r>
        <w:t>.</w:t>
      </w:r>
      <w:r w:rsidR="009566A0">
        <w:t xml:space="preserve">  </w:t>
      </w:r>
      <w:r w:rsidRPr="003619A0">
        <w:t xml:space="preserve">IAB evaluation </w:t>
      </w:r>
      <w:r w:rsidR="005B1DC7">
        <w:t xml:space="preserve">should </w:t>
      </w:r>
      <w:r w:rsidRPr="003619A0">
        <w:t xml:space="preserve">assess the benefit </w:t>
      </w:r>
      <w:r w:rsidR="00310AF9">
        <w:t xml:space="preserve">of </w:t>
      </w:r>
      <w:r w:rsidRPr="003619A0">
        <w:t xml:space="preserve">IAB in the </w:t>
      </w:r>
      <w:r w:rsidR="00310AF9">
        <w:t>S</w:t>
      </w:r>
      <w:r w:rsidRPr="003619A0">
        <w:t xml:space="preserve">parse </w:t>
      </w:r>
      <w:r w:rsidR="00310AF9">
        <w:t>F</w:t>
      </w:r>
      <w:r w:rsidRPr="003619A0">
        <w:t>iber scenario</w:t>
      </w:r>
      <w:r w:rsidR="005B1DC7">
        <w:t xml:space="preserve">. </w:t>
      </w:r>
      <w:r w:rsidRPr="003619A0">
        <w:t>IAB</w:t>
      </w:r>
      <w:r w:rsidR="008D768B">
        <w:t xml:space="preserve"> study</w:t>
      </w:r>
      <w:r w:rsidRPr="003619A0">
        <w:t xml:space="preserve"> should </w:t>
      </w:r>
      <w:r w:rsidR="008D768B">
        <w:t xml:space="preserve">consider </w:t>
      </w:r>
      <w:r w:rsidRPr="003619A0">
        <w:t xml:space="preserve">the KPIs </w:t>
      </w:r>
      <w:r w:rsidR="008D768B">
        <w:t xml:space="preserve">such as </w:t>
      </w:r>
      <w:r w:rsidRPr="003619A0">
        <w:t>mean UE throughput, cell edge UE throughput, resource utilization per traffic type (access or backhaul) and latency</w:t>
      </w:r>
      <w:r>
        <w:t>.</w:t>
      </w:r>
    </w:p>
    <w:p w14:paraId="7A2FC0D1" w14:textId="4A9CEE45" w:rsidR="005B1DC7" w:rsidRPr="00310AF9" w:rsidRDefault="009566A0" w:rsidP="00B518F9">
      <w:pPr>
        <w:rPr>
          <w:b/>
        </w:rPr>
      </w:pPr>
      <w:r w:rsidRPr="00310AF9">
        <w:rPr>
          <w:b/>
        </w:rPr>
        <w:t>Proposal</w:t>
      </w:r>
      <w:r w:rsidR="000E2F85" w:rsidRPr="00310AF9">
        <w:rPr>
          <w:b/>
        </w:rPr>
        <w:t xml:space="preserve"> 7</w:t>
      </w:r>
      <w:r w:rsidRPr="00310AF9">
        <w:rPr>
          <w:b/>
        </w:rPr>
        <w:t>: IAB evaluation should assess the benefit</w:t>
      </w:r>
      <w:r w:rsidR="000E2F85">
        <w:rPr>
          <w:b/>
        </w:rPr>
        <w:t xml:space="preserve"> of</w:t>
      </w:r>
      <w:r w:rsidRPr="00310AF9">
        <w:rPr>
          <w:b/>
        </w:rPr>
        <w:t xml:space="preserve"> IAB in the </w:t>
      </w:r>
      <w:r w:rsidR="00310AF9">
        <w:rPr>
          <w:b/>
        </w:rPr>
        <w:t>S</w:t>
      </w:r>
      <w:r w:rsidRPr="00310AF9">
        <w:rPr>
          <w:b/>
        </w:rPr>
        <w:t xml:space="preserve">parse </w:t>
      </w:r>
      <w:r w:rsidR="00310AF9">
        <w:rPr>
          <w:b/>
        </w:rPr>
        <w:t>F</w:t>
      </w:r>
      <w:r w:rsidRPr="00310AF9">
        <w:rPr>
          <w:b/>
        </w:rPr>
        <w:t>iber scenario.</w:t>
      </w:r>
    </w:p>
    <w:p w14:paraId="43A12B72" w14:textId="210B2CD4" w:rsidR="00CD4C7B" w:rsidRPr="00310AF9" w:rsidRDefault="00B41564" w:rsidP="00CD4C7B">
      <w:pPr>
        <w:pStyle w:val="Heading1"/>
      </w:pPr>
      <w:r w:rsidRPr="00310AF9">
        <w:t>3</w:t>
      </w:r>
      <w:r w:rsidRPr="00310AF9">
        <w:tab/>
      </w:r>
      <w:r w:rsidRPr="00A97AC1">
        <w:rPr>
          <w:lang w:val="en-US"/>
        </w:rPr>
        <w:t>Conclusions</w:t>
      </w:r>
    </w:p>
    <w:p w14:paraId="3374DB13" w14:textId="16B27978" w:rsidR="005B677B" w:rsidRDefault="00FD3BBA" w:rsidP="00CD4C7B">
      <w:r>
        <w:t>In this document</w:t>
      </w:r>
      <w:r w:rsidR="00401A8D">
        <w:t>,</w:t>
      </w:r>
      <w:r>
        <w:t xml:space="preserve"> we have summarized </w:t>
      </w:r>
      <w:r w:rsidR="00040A13">
        <w:t xml:space="preserve">some of the main points and findings from our IAB elaborations which can be used as guidelines for the IAB study in RAN WGs. Detailed discussions on each area can be found in the referenced documents. </w:t>
      </w:r>
      <w:r w:rsidR="00401A8D">
        <w:t>H</w:t>
      </w:r>
      <w:r w:rsidR="00040A13">
        <w:t xml:space="preserve">igher level proposals we have </w:t>
      </w:r>
      <w:r w:rsidR="00401A8D">
        <w:t>wer</w:t>
      </w:r>
      <w:r w:rsidR="00040A13">
        <w:t>e:</w:t>
      </w:r>
    </w:p>
    <w:p w14:paraId="0F354118" w14:textId="77777777" w:rsidR="00040A13" w:rsidRDefault="00040A13" w:rsidP="00040A13">
      <w:pPr>
        <w:rPr>
          <w:lang w:val="en-US"/>
        </w:rPr>
      </w:pPr>
      <w:r w:rsidRPr="00BD0CF7">
        <w:rPr>
          <w:b/>
          <w:lang w:val="en-US"/>
        </w:rPr>
        <w:t>Proposal</w:t>
      </w:r>
      <w:r w:rsidRPr="00330C44">
        <w:rPr>
          <w:b/>
          <w:lang w:val="en-US"/>
        </w:rPr>
        <w:t xml:space="preserve"> 1: IAB focus should be on coverage enhancements, specifically on SFM and IGR cases</w:t>
      </w:r>
      <w:r>
        <w:rPr>
          <w:lang w:val="en-US"/>
        </w:rPr>
        <w:t>.</w:t>
      </w:r>
    </w:p>
    <w:p w14:paraId="18831539" w14:textId="77777777" w:rsidR="00401A8D" w:rsidRDefault="00401A8D" w:rsidP="00401A8D">
      <w:pPr>
        <w:jc w:val="both"/>
        <w:rPr>
          <w:b/>
          <w:lang w:val="en-US"/>
        </w:rPr>
      </w:pPr>
      <w:r w:rsidRPr="00BD0CF7">
        <w:rPr>
          <w:b/>
          <w:lang w:val="en-US"/>
        </w:rPr>
        <w:t>Proposal</w:t>
      </w:r>
      <w:r w:rsidRPr="00330C44">
        <w:rPr>
          <w:b/>
          <w:lang w:val="en-US"/>
        </w:rPr>
        <w:t xml:space="preserve"> 2: IAB operation shall consider duplex constraints while taking into account the IAB site configuration, i.e. antenna </w:t>
      </w:r>
      <w:r w:rsidRPr="00330C44">
        <w:rPr>
          <w:b/>
          <w:lang w:val="en-US"/>
        </w:rPr>
        <w:t>structures and sectorization.</w:t>
      </w:r>
    </w:p>
    <w:p w14:paraId="5F24902B" w14:textId="77777777" w:rsidR="00040A13" w:rsidRPr="00FB5539" w:rsidRDefault="00040A13" w:rsidP="00040A13">
      <w:pPr>
        <w:jc w:val="both"/>
        <w:rPr>
          <w:b/>
          <w:lang w:val="en-US"/>
        </w:rPr>
      </w:pPr>
      <w:r w:rsidRPr="489ACE2A">
        <w:rPr>
          <w:b/>
        </w:rPr>
        <w:t>Proposal 3: IAB focus should be on bands above 6GHz and in-band backhauling can be prioritized.</w:t>
      </w:r>
    </w:p>
    <w:p w14:paraId="19CC7650" w14:textId="69C22F70" w:rsidR="00040A13" w:rsidRPr="00FB5539" w:rsidRDefault="00040A13" w:rsidP="00040A13">
      <w:pPr>
        <w:rPr>
          <w:b/>
        </w:rPr>
      </w:pPr>
      <w:r w:rsidRPr="489ACE2A">
        <w:rPr>
          <w:b/>
        </w:rPr>
        <w:t>Proposal 4: The number of hops is determined by the propagation environment where topology is constructed to maximize system spectral efficiency and minimize latency.  No specified limit on number of hops</w:t>
      </w:r>
      <w:r w:rsidR="005730EE" w:rsidRPr="005730EE">
        <w:rPr>
          <w:b/>
        </w:rPr>
        <w:t xml:space="preserve"> </w:t>
      </w:r>
      <w:r w:rsidR="005730EE">
        <w:rPr>
          <w:b/>
        </w:rPr>
        <w:t>should be determined</w:t>
      </w:r>
      <w:r w:rsidRPr="489ACE2A">
        <w:rPr>
          <w:b/>
        </w:rPr>
        <w:t>, however, hop count unlikely to exceed 4.</w:t>
      </w:r>
    </w:p>
    <w:p w14:paraId="27161D75" w14:textId="54A6C9FB" w:rsidR="00040A13" w:rsidRPr="007B6543" w:rsidRDefault="00040A13" w:rsidP="00040A13">
      <w:pPr>
        <w:jc w:val="both"/>
        <w:rPr>
          <w:b/>
          <w:lang w:val="en-US"/>
        </w:rPr>
      </w:pPr>
      <w:r w:rsidRPr="489ACE2A">
        <w:rPr>
          <w:b/>
          <w:lang w:val="en-US"/>
        </w:rPr>
        <w:t xml:space="preserve">Proposal 5: Both solutions, MAC adaptation layer </w:t>
      </w:r>
      <w:r w:rsidR="00310AF9">
        <w:rPr>
          <w:b/>
          <w:lang w:val="en-US"/>
        </w:rPr>
        <w:t xml:space="preserve">based IAB </w:t>
      </w:r>
      <w:r w:rsidRPr="489ACE2A">
        <w:rPr>
          <w:b/>
          <w:lang w:val="en-US"/>
        </w:rPr>
        <w:t>and IAB as a connectivity service, should be included in the IAB SI for further elaboration.</w:t>
      </w:r>
    </w:p>
    <w:p w14:paraId="57C8B157" w14:textId="77777777" w:rsidR="005730EE" w:rsidRPr="00E06485" w:rsidRDefault="005730EE" w:rsidP="005730EE">
      <w:pPr>
        <w:rPr>
          <w:b/>
          <w:lang w:val="en-US"/>
        </w:rPr>
      </w:pPr>
      <w:r w:rsidRPr="00BD0CF7">
        <w:rPr>
          <w:b/>
          <w:lang w:val="en-US"/>
        </w:rPr>
        <w:t>Pro</w:t>
      </w:r>
      <w:r w:rsidRPr="00330C44">
        <w:rPr>
          <w:b/>
          <w:lang w:val="en-US"/>
        </w:rPr>
        <w:t xml:space="preserve">posal 6: IAB should be studied for NR SA as well as NSA networks although somewhat different </w:t>
      </w:r>
      <w:r w:rsidRPr="489ACE2A">
        <w:rPr>
          <w:b/>
          <w:lang w:val="en-US"/>
        </w:rPr>
        <w:t>operation and characteristics of the two cases</w:t>
      </w:r>
      <w:r>
        <w:rPr>
          <w:b/>
          <w:lang w:val="en-US"/>
        </w:rPr>
        <w:t xml:space="preserve"> need to be </w:t>
      </w:r>
      <w:r w:rsidRPr="00330C44">
        <w:rPr>
          <w:b/>
          <w:lang w:val="en-US"/>
        </w:rPr>
        <w:t>consider</w:t>
      </w:r>
      <w:r>
        <w:rPr>
          <w:b/>
          <w:lang w:val="en-US"/>
        </w:rPr>
        <w:t>ed</w:t>
      </w:r>
      <w:r w:rsidRPr="489ACE2A">
        <w:rPr>
          <w:b/>
          <w:lang w:val="en-US"/>
        </w:rPr>
        <w:t>. No changes to LTE</w:t>
      </w:r>
      <w:r>
        <w:rPr>
          <w:b/>
          <w:lang w:val="en-US"/>
        </w:rPr>
        <w:t xml:space="preserve"> are</w:t>
      </w:r>
      <w:r w:rsidRPr="489ACE2A">
        <w:rPr>
          <w:b/>
          <w:lang w:val="en-US"/>
        </w:rPr>
        <w:t xml:space="preserve"> expected in support of IAB in LTE/NR dual connectivity.</w:t>
      </w:r>
    </w:p>
    <w:p w14:paraId="37EC9EBB" w14:textId="3D7E0986" w:rsidR="009566A0" w:rsidRPr="00310AF9" w:rsidRDefault="005730EE" w:rsidP="009566A0">
      <w:pPr>
        <w:rPr>
          <w:b/>
        </w:rPr>
      </w:pPr>
      <w:r w:rsidRPr="489ACE2A" w:rsidDel="005730EE">
        <w:rPr>
          <w:b/>
          <w:lang w:val="en-US"/>
        </w:rPr>
        <w:t xml:space="preserve"> </w:t>
      </w:r>
      <w:r w:rsidR="009566A0" w:rsidRPr="00310AF9">
        <w:rPr>
          <w:b/>
        </w:rPr>
        <w:t xml:space="preserve">Proposal 7: IAB evaluation should assess the benefit </w:t>
      </w:r>
      <w:r w:rsidR="000E2F85">
        <w:rPr>
          <w:b/>
        </w:rPr>
        <w:t xml:space="preserve">of </w:t>
      </w:r>
      <w:r w:rsidR="009566A0" w:rsidRPr="00310AF9">
        <w:rPr>
          <w:b/>
        </w:rPr>
        <w:t xml:space="preserve">IAB in the </w:t>
      </w:r>
      <w:r w:rsidR="00310AF9">
        <w:rPr>
          <w:b/>
        </w:rPr>
        <w:t>S</w:t>
      </w:r>
      <w:r w:rsidR="009566A0" w:rsidRPr="00310AF9">
        <w:rPr>
          <w:b/>
        </w:rPr>
        <w:t xml:space="preserve">parse </w:t>
      </w:r>
      <w:r w:rsidR="00310AF9">
        <w:rPr>
          <w:b/>
        </w:rPr>
        <w:t>F</w:t>
      </w:r>
      <w:r w:rsidR="009566A0" w:rsidRPr="00310AF9">
        <w:rPr>
          <w:b/>
        </w:rPr>
        <w:t>iber scenario.</w:t>
      </w:r>
    </w:p>
    <w:p w14:paraId="5C73BF41" w14:textId="77777777" w:rsidR="00B518F9" w:rsidRPr="00211E44" w:rsidRDefault="00B518F9" w:rsidP="00CD4C7B"/>
    <w:p w14:paraId="0FDCFAC2" w14:textId="77777777" w:rsidR="00CD4C7B" w:rsidRPr="006E13D1" w:rsidRDefault="00CD4C7B" w:rsidP="00CD4C7B">
      <w:pPr>
        <w:pStyle w:val="Heading1"/>
      </w:pPr>
      <w:r w:rsidRPr="006E13D1">
        <w:t>References</w:t>
      </w:r>
    </w:p>
    <w:p w14:paraId="2E2E1792" w14:textId="6C8BBFE0" w:rsidR="00B41564" w:rsidRDefault="00B41564" w:rsidP="00B41564">
      <w:pPr>
        <w:numPr>
          <w:ilvl w:val="0"/>
          <w:numId w:val="4"/>
        </w:numPr>
        <w:overflowPunct w:val="0"/>
        <w:autoSpaceDE w:val="0"/>
        <w:autoSpaceDN w:val="0"/>
        <w:adjustRightInd w:val="0"/>
        <w:textAlignment w:val="baseline"/>
      </w:pPr>
      <w:bookmarkStart w:id="2" w:name="_Ref75086397"/>
      <w:r>
        <w:t>RP-171880</w:t>
      </w:r>
      <w:r w:rsidRPr="006E13D1">
        <w:t xml:space="preserve"> </w:t>
      </w:r>
      <w:r w:rsidRPr="00B41564">
        <w:rPr>
          <w:i/>
          <w:iCs/>
        </w:rPr>
        <w:t>Study on Integrated Access and Backhaul for NR</w:t>
      </w:r>
      <w:r>
        <w:t xml:space="preserve"> - </w:t>
      </w:r>
      <w:r w:rsidRPr="00B41564">
        <w:t>AT&amp;T, Qualcomm, Samsung</w:t>
      </w:r>
    </w:p>
    <w:p w14:paraId="484CDED9" w14:textId="6A9F8ED9" w:rsidR="009F72F5" w:rsidRDefault="00BC76A0" w:rsidP="00B41564">
      <w:pPr>
        <w:numPr>
          <w:ilvl w:val="0"/>
          <w:numId w:val="4"/>
        </w:numPr>
        <w:overflowPunct w:val="0"/>
        <w:autoSpaceDE w:val="0"/>
        <w:autoSpaceDN w:val="0"/>
        <w:adjustRightInd w:val="0"/>
        <w:textAlignment w:val="baseline"/>
      </w:pPr>
      <w:bookmarkStart w:id="3" w:name="_Ref503426701"/>
      <w:r>
        <w:t>R2-1800390</w:t>
      </w:r>
      <w:r w:rsidR="009F72F5">
        <w:t xml:space="preserve"> </w:t>
      </w:r>
      <w:r w:rsidR="009F72F5" w:rsidRPr="00330C44">
        <w:rPr>
          <w:i/>
        </w:rPr>
        <w:t>IAB deployment scenarios</w:t>
      </w:r>
      <w:r w:rsidR="009F72F5">
        <w:t>, Nokia, Nokia Shanghai Bell</w:t>
      </w:r>
      <w:bookmarkEnd w:id="3"/>
    </w:p>
    <w:p w14:paraId="79E6B531" w14:textId="2A3DCF53" w:rsidR="00BC76A0" w:rsidRDefault="00BC76A0" w:rsidP="00BC76A0">
      <w:pPr>
        <w:numPr>
          <w:ilvl w:val="0"/>
          <w:numId w:val="4"/>
        </w:numPr>
        <w:overflowPunct w:val="0"/>
        <w:autoSpaceDE w:val="0"/>
        <w:autoSpaceDN w:val="0"/>
        <w:adjustRightInd w:val="0"/>
        <w:textAlignment w:val="baseline"/>
      </w:pPr>
      <w:bookmarkStart w:id="4" w:name="_Ref503426709"/>
      <w:r>
        <w:t xml:space="preserve">R2-1800417 </w:t>
      </w:r>
      <w:r w:rsidRPr="00330C44">
        <w:rPr>
          <w:i/>
        </w:rPr>
        <w:t>IAB topology discussion</w:t>
      </w:r>
      <w:r>
        <w:t>, Nokia, Nokia Shanghai Bell</w:t>
      </w:r>
      <w:bookmarkEnd w:id="4"/>
    </w:p>
    <w:p w14:paraId="03102E99" w14:textId="3F2B00DB" w:rsidR="009F72F5" w:rsidRDefault="00BC76A0" w:rsidP="009F72F5">
      <w:pPr>
        <w:numPr>
          <w:ilvl w:val="0"/>
          <w:numId w:val="4"/>
        </w:numPr>
        <w:overflowPunct w:val="0"/>
        <w:autoSpaceDE w:val="0"/>
        <w:autoSpaceDN w:val="0"/>
        <w:adjustRightInd w:val="0"/>
        <w:textAlignment w:val="baseline"/>
      </w:pPr>
      <w:bookmarkStart w:id="5" w:name="_Ref503426711"/>
      <w:r>
        <w:lastRenderedPageBreak/>
        <w:t>R2-1800393</w:t>
      </w:r>
      <w:r w:rsidR="009F72F5">
        <w:t xml:space="preserve"> </w:t>
      </w:r>
      <w:r w:rsidR="009F72F5" w:rsidRPr="00330C44">
        <w:rPr>
          <w:i/>
        </w:rPr>
        <w:t>Architecture and Protocols: Connectivity Service Solution for IAB</w:t>
      </w:r>
      <w:r w:rsidR="009F72F5">
        <w:t>, Nokia, Nokia Shanghai Bell</w:t>
      </w:r>
      <w:bookmarkEnd w:id="5"/>
    </w:p>
    <w:p w14:paraId="75519063" w14:textId="42F11B40" w:rsidR="009F72F5" w:rsidRDefault="00BC76A0" w:rsidP="009F72F5">
      <w:pPr>
        <w:numPr>
          <w:ilvl w:val="0"/>
          <w:numId w:val="4"/>
        </w:numPr>
        <w:overflowPunct w:val="0"/>
        <w:autoSpaceDE w:val="0"/>
        <w:autoSpaceDN w:val="0"/>
        <w:adjustRightInd w:val="0"/>
        <w:textAlignment w:val="baseline"/>
      </w:pPr>
      <w:bookmarkStart w:id="6" w:name="_Ref503426713"/>
      <w:r>
        <w:t>R2-1800392</w:t>
      </w:r>
      <w:r w:rsidR="009F72F5">
        <w:t xml:space="preserve"> </w:t>
      </w:r>
      <w:r w:rsidR="009F72F5" w:rsidRPr="00330C44">
        <w:rPr>
          <w:i/>
        </w:rPr>
        <w:t>Architecture and Protocols: MAC adaptation layer based IAB</w:t>
      </w:r>
      <w:r w:rsidR="009F72F5">
        <w:t>, Nokia, Nokia Shanghai Bell</w:t>
      </w:r>
      <w:bookmarkEnd w:id="6"/>
    </w:p>
    <w:p w14:paraId="1ED8588F" w14:textId="3C449487" w:rsidR="009F72F5" w:rsidRDefault="00BC76A0" w:rsidP="009F72F5">
      <w:pPr>
        <w:numPr>
          <w:ilvl w:val="0"/>
          <w:numId w:val="4"/>
        </w:numPr>
        <w:overflowPunct w:val="0"/>
        <w:autoSpaceDE w:val="0"/>
        <w:autoSpaceDN w:val="0"/>
        <w:adjustRightInd w:val="0"/>
        <w:textAlignment w:val="baseline"/>
      </w:pPr>
      <w:bookmarkStart w:id="7" w:name="_Ref503426717"/>
      <w:r>
        <w:t>R2-1800391</w:t>
      </w:r>
      <w:r w:rsidR="009F72F5">
        <w:t xml:space="preserve"> </w:t>
      </w:r>
      <w:r w:rsidR="009F72F5" w:rsidRPr="00330C44">
        <w:rPr>
          <w:i/>
        </w:rPr>
        <w:t>Relaying in NSA</w:t>
      </w:r>
      <w:r w:rsidR="009F72F5">
        <w:t>, Nokia, Nokia Shanghai Bell</w:t>
      </w:r>
      <w:bookmarkEnd w:id="7"/>
    </w:p>
    <w:p w14:paraId="5C55E5F0" w14:textId="3F98E974" w:rsidR="009F72F5" w:rsidRDefault="00BC76A0" w:rsidP="009F72F5">
      <w:pPr>
        <w:numPr>
          <w:ilvl w:val="0"/>
          <w:numId w:val="4"/>
        </w:numPr>
        <w:overflowPunct w:val="0"/>
        <w:autoSpaceDE w:val="0"/>
        <w:autoSpaceDN w:val="0"/>
        <w:adjustRightInd w:val="0"/>
        <w:textAlignment w:val="baseline"/>
      </w:pPr>
      <w:bookmarkStart w:id="8" w:name="_Ref503425677"/>
      <w:r>
        <w:t>R2-1800416</w:t>
      </w:r>
      <w:r w:rsidR="004859C8">
        <w:t xml:space="preserve"> </w:t>
      </w:r>
      <w:r w:rsidR="004859C8" w:rsidRPr="00330C44">
        <w:rPr>
          <w:i/>
        </w:rPr>
        <w:t>Evaluation Methodologies</w:t>
      </w:r>
      <w:r w:rsidR="004859C8">
        <w:t>, Nokia, Nokia Shanghai Bell</w:t>
      </w:r>
      <w:bookmarkEnd w:id="2"/>
      <w:bookmarkEnd w:id="8"/>
    </w:p>
    <w:p w14:paraId="6840E7F2" w14:textId="57EB6884" w:rsidR="009566A0" w:rsidRDefault="009566A0" w:rsidP="009566A0">
      <w:pPr>
        <w:numPr>
          <w:ilvl w:val="0"/>
          <w:numId w:val="4"/>
        </w:numPr>
        <w:overflowPunct w:val="0"/>
        <w:autoSpaceDE w:val="0"/>
        <w:autoSpaceDN w:val="0"/>
        <w:adjustRightInd w:val="0"/>
        <w:textAlignment w:val="baseline"/>
      </w:pPr>
      <w:bookmarkStart w:id="9" w:name="_Ref503291473"/>
      <w:r w:rsidRPr="00BA3433">
        <w:t xml:space="preserve">3GPP TR </w:t>
      </w:r>
      <w:r>
        <w:t xml:space="preserve">38.802 </w:t>
      </w:r>
      <w:r w:rsidRPr="00BA3433">
        <w:rPr>
          <w:i/>
          <w:iCs/>
        </w:rPr>
        <w:t>Study on New Radio Access Technology</w:t>
      </w:r>
      <w:r>
        <w:rPr>
          <w:i/>
          <w:iCs/>
        </w:rPr>
        <w:t xml:space="preserve"> - </w:t>
      </w:r>
      <w:r w:rsidRPr="00BA3433">
        <w:rPr>
          <w:i/>
          <w:iCs/>
        </w:rPr>
        <w:t>Physical Layer Aspects</w:t>
      </w:r>
      <w:bookmarkEnd w:id="9"/>
    </w:p>
    <w:sectPr w:rsidR="009566A0" w:rsidSect="00BD0C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E2B3D" w14:textId="77777777" w:rsidR="0050710E" w:rsidRDefault="0050710E">
      <w:r>
        <w:separator/>
      </w:r>
    </w:p>
  </w:endnote>
  <w:endnote w:type="continuationSeparator" w:id="0">
    <w:p w14:paraId="79CC2420" w14:textId="77777777" w:rsidR="0050710E" w:rsidRDefault="0050710E">
      <w:r>
        <w:continuationSeparator/>
      </w:r>
    </w:p>
  </w:endnote>
  <w:endnote w:type="continuationNotice" w:id="1">
    <w:p w14:paraId="48A75981" w14:textId="77777777" w:rsidR="0050710E" w:rsidRDefault="00507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B0413" w14:textId="77777777" w:rsidR="0050710E" w:rsidRDefault="0050710E">
      <w:r>
        <w:separator/>
      </w:r>
    </w:p>
  </w:footnote>
  <w:footnote w:type="continuationSeparator" w:id="0">
    <w:p w14:paraId="3EC5E1DD" w14:textId="77777777" w:rsidR="0050710E" w:rsidRDefault="0050710E">
      <w:r>
        <w:continuationSeparator/>
      </w:r>
    </w:p>
  </w:footnote>
  <w:footnote w:type="continuationNotice" w:id="1">
    <w:p w14:paraId="09D9434A" w14:textId="77777777" w:rsidR="0050710E" w:rsidRDefault="00507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2D5ACC"/>
    <w:multiLevelType w:val="hybridMultilevel"/>
    <w:tmpl w:val="3D90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C202D59"/>
    <w:multiLevelType w:val="hybridMultilevel"/>
    <w:tmpl w:val="BBCC1430"/>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4F2"/>
    <w:rsid w:val="00033397"/>
    <w:rsid w:val="00040095"/>
    <w:rsid w:val="00040A13"/>
    <w:rsid w:val="00047634"/>
    <w:rsid w:val="00080512"/>
    <w:rsid w:val="00090468"/>
    <w:rsid w:val="000B7BCF"/>
    <w:rsid w:val="000C522B"/>
    <w:rsid w:val="000D58AB"/>
    <w:rsid w:val="000E2F85"/>
    <w:rsid w:val="00103258"/>
    <w:rsid w:val="00112F1A"/>
    <w:rsid w:val="001215F1"/>
    <w:rsid w:val="00145075"/>
    <w:rsid w:val="00154B59"/>
    <w:rsid w:val="001741A0"/>
    <w:rsid w:val="00194CD0"/>
    <w:rsid w:val="001B49C9"/>
    <w:rsid w:val="001D04F6"/>
    <w:rsid w:val="001F168B"/>
    <w:rsid w:val="001F7831"/>
    <w:rsid w:val="0020341F"/>
    <w:rsid w:val="00204045"/>
    <w:rsid w:val="00211E44"/>
    <w:rsid w:val="0022606D"/>
    <w:rsid w:val="002747EC"/>
    <w:rsid w:val="00277FC0"/>
    <w:rsid w:val="002855BF"/>
    <w:rsid w:val="002903F6"/>
    <w:rsid w:val="002925D6"/>
    <w:rsid w:val="00296F22"/>
    <w:rsid w:val="002C14C0"/>
    <w:rsid w:val="002F0D22"/>
    <w:rsid w:val="003074E0"/>
    <w:rsid w:val="00307A75"/>
    <w:rsid w:val="00310AF9"/>
    <w:rsid w:val="003172DC"/>
    <w:rsid w:val="0031775D"/>
    <w:rsid w:val="00326069"/>
    <w:rsid w:val="00330C44"/>
    <w:rsid w:val="003424B3"/>
    <w:rsid w:val="00352A08"/>
    <w:rsid w:val="0035462D"/>
    <w:rsid w:val="003619A0"/>
    <w:rsid w:val="00393752"/>
    <w:rsid w:val="003B40AD"/>
    <w:rsid w:val="003C4E37"/>
    <w:rsid w:val="003E16BE"/>
    <w:rsid w:val="003E6339"/>
    <w:rsid w:val="004006E8"/>
    <w:rsid w:val="00401855"/>
    <w:rsid w:val="00401A8D"/>
    <w:rsid w:val="00402054"/>
    <w:rsid w:val="00451F19"/>
    <w:rsid w:val="00477455"/>
    <w:rsid w:val="004859C8"/>
    <w:rsid w:val="004905FF"/>
    <w:rsid w:val="004A0483"/>
    <w:rsid w:val="004C1F8C"/>
    <w:rsid w:val="004C5924"/>
    <w:rsid w:val="004D3578"/>
    <w:rsid w:val="004D380D"/>
    <w:rsid w:val="004E213A"/>
    <w:rsid w:val="00503171"/>
    <w:rsid w:val="00506C28"/>
    <w:rsid w:val="0050710E"/>
    <w:rsid w:val="00513895"/>
    <w:rsid w:val="00534DA0"/>
    <w:rsid w:val="00543E6C"/>
    <w:rsid w:val="00565087"/>
    <w:rsid w:val="0056573F"/>
    <w:rsid w:val="005730EE"/>
    <w:rsid w:val="005737E4"/>
    <w:rsid w:val="005A6F40"/>
    <w:rsid w:val="005B1DC7"/>
    <w:rsid w:val="005B4642"/>
    <w:rsid w:val="005B677B"/>
    <w:rsid w:val="005C76EE"/>
    <w:rsid w:val="00611566"/>
    <w:rsid w:val="00625D95"/>
    <w:rsid w:val="0064143F"/>
    <w:rsid w:val="00646D99"/>
    <w:rsid w:val="00656910"/>
    <w:rsid w:val="006754EB"/>
    <w:rsid w:val="006927A8"/>
    <w:rsid w:val="00692C11"/>
    <w:rsid w:val="006B1F9A"/>
    <w:rsid w:val="006C66D8"/>
    <w:rsid w:val="006D1E24"/>
    <w:rsid w:val="006E1417"/>
    <w:rsid w:val="006E29D8"/>
    <w:rsid w:val="006E3DE2"/>
    <w:rsid w:val="006F6A2C"/>
    <w:rsid w:val="00703AA6"/>
    <w:rsid w:val="00704F17"/>
    <w:rsid w:val="00710201"/>
    <w:rsid w:val="0072725E"/>
    <w:rsid w:val="0073117A"/>
    <w:rsid w:val="00734248"/>
    <w:rsid w:val="00734A5B"/>
    <w:rsid w:val="0074129E"/>
    <w:rsid w:val="00744E76"/>
    <w:rsid w:val="00757D40"/>
    <w:rsid w:val="00770D8C"/>
    <w:rsid w:val="007718C3"/>
    <w:rsid w:val="007767B4"/>
    <w:rsid w:val="00781F0F"/>
    <w:rsid w:val="00786399"/>
    <w:rsid w:val="0078727C"/>
    <w:rsid w:val="0079049D"/>
    <w:rsid w:val="007A6692"/>
    <w:rsid w:val="007B18D8"/>
    <w:rsid w:val="007B6543"/>
    <w:rsid w:val="007C095F"/>
    <w:rsid w:val="008028A4"/>
    <w:rsid w:val="00812352"/>
    <w:rsid w:val="00813245"/>
    <w:rsid w:val="0082646E"/>
    <w:rsid w:val="008313A7"/>
    <w:rsid w:val="00834C9C"/>
    <w:rsid w:val="008375D6"/>
    <w:rsid w:val="008550B0"/>
    <w:rsid w:val="00862690"/>
    <w:rsid w:val="008768CA"/>
    <w:rsid w:val="00877EF9"/>
    <w:rsid w:val="00880559"/>
    <w:rsid w:val="008B5306"/>
    <w:rsid w:val="008D768B"/>
    <w:rsid w:val="008E1E8F"/>
    <w:rsid w:val="0090271F"/>
    <w:rsid w:val="00902DB9"/>
    <w:rsid w:val="0090466A"/>
    <w:rsid w:val="00906494"/>
    <w:rsid w:val="009105BD"/>
    <w:rsid w:val="00922EE3"/>
    <w:rsid w:val="00936071"/>
    <w:rsid w:val="00940212"/>
    <w:rsid w:val="00942EC2"/>
    <w:rsid w:val="009566A0"/>
    <w:rsid w:val="00961B32"/>
    <w:rsid w:val="00970DB3"/>
    <w:rsid w:val="00974BB0"/>
    <w:rsid w:val="009804C6"/>
    <w:rsid w:val="00985B5E"/>
    <w:rsid w:val="0098738B"/>
    <w:rsid w:val="009A0AF3"/>
    <w:rsid w:val="009B07CD"/>
    <w:rsid w:val="009C19E9"/>
    <w:rsid w:val="009E053C"/>
    <w:rsid w:val="009F46BD"/>
    <w:rsid w:val="009F72F5"/>
    <w:rsid w:val="009F7FC3"/>
    <w:rsid w:val="00A10F02"/>
    <w:rsid w:val="00A204CA"/>
    <w:rsid w:val="00A53724"/>
    <w:rsid w:val="00A6690E"/>
    <w:rsid w:val="00A82346"/>
    <w:rsid w:val="00A9671C"/>
    <w:rsid w:val="00A97AC1"/>
    <w:rsid w:val="00AA1553"/>
    <w:rsid w:val="00AB420C"/>
    <w:rsid w:val="00AC7D3B"/>
    <w:rsid w:val="00AD66F4"/>
    <w:rsid w:val="00AE48A6"/>
    <w:rsid w:val="00AF19E4"/>
    <w:rsid w:val="00B152B7"/>
    <w:rsid w:val="00B15449"/>
    <w:rsid w:val="00B41564"/>
    <w:rsid w:val="00B47FD1"/>
    <w:rsid w:val="00B516BB"/>
    <w:rsid w:val="00B518F9"/>
    <w:rsid w:val="00B82F49"/>
    <w:rsid w:val="00BB502C"/>
    <w:rsid w:val="00BC76A0"/>
    <w:rsid w:val="00BC7CDC"/>
    <w:rsid w:val="00BD0CF7"/>
    <w:rsid w:val="00BD5A56"/>
    <w:rsid w:val="00BE7043"/>
    <w:rsid w:val="00C05E39"/>
    <w:rsid w:val="00C12B51"/>
    <w:rsid w:val="00C24650"/>
    <w:rsid w:val="00C33079"/>
    <w:rsid w:val="00C60365"/>
    <w:rsid w:val="00C8124F"/>
    <w:rsid w:val="00C83A13"/>
    <w:rsid w:val="00C8572B"/>
    <w:rsid w:val="00C9068C"/>
    <w:rsid w:val="00C92967"/>
    <w:rsid w:val="00CA3D0C"/>
    <w:rsid w:val="00CA654B"/>
    <w:rsid w:val="00CB724B"/>
    <w:rsid w:val="00CD4C7B"/>
    <w:rsid w:val="00CF5110"/>
    <w:rsid w:val="00CF6ECF"/>
    <w:rsid w:val="00D04CD5"/>
    <w:rsid w:val="00D06A29"/>
    <w:rsid w:val="00D06EAC"/>
    <w:rsid w:val="00D326E8"/>
    <w:rsid w:val="00D56A47"/>
    <w:rsid w:val="00D738D6"/>
    <w:rsid w:val="00D80795"/>
    <w:rsid w:val="00D854BE"/>
    <w:rsid w:val="00D87E00"/>
    <w:rsid w:val="00D9134D"/>
    <w:rsid w:val="00D95BE7"/>
    <w:rsid w:val="00D96D11"/>
    <w:rsid w:val="00DA7A03"/>
    <w:rsid w:val="00DB1818"/>
    <w:rsid w:val="00DC2F00"/>
    <w:rsid w:val="00DC309B"/>
    <w:rsid w:val="00DC4DA2"/>
    <w:rsid w:val="00DD34D5"/>
    <w:rsid w:val="00E002CF"/>
    <w:rsid w:val="00E06485"/>
    <w:rsid w:val="00E079FF"/>
    <w:rsid w:val="00E40BF8"/>
    <w:rsid w:val="00E569CD"/>
    <w:rsid w:val="00E62835"/>
    <w:rsid w:val="00E77645"/>
    <w:rsid w:val="00E83697"/>
    <w:rsid w:val="00E9071B"/>
    <w:rsid w:val="00EC4A25"/>
    <w:rsid w:val="00EE0701"/>
    <w:rsid w:val="00EE3955"/>
    <w:rsid w:val="00F0255A"/>
    <w:rsid w:val="00F025A2"/>
    <w:rsid w:val="00F07388"/>
    <w:rsid w:val="00F2026E"/>
    <w:rsid w:val="00F2210A"/>
    <w:rsid w:val="00F23C17"/>
    <w:rsid w:val="00F337B9"/>
    <w:rsid w:val="00F34B01"/>
    <w:rsid w:val="00F350C5"/>
    <w:rsid w:val="00F35885"/>
    <w:rsid w:val="00F37743"/>
    <w:rsid w:val="00F43747"/>
    <w:rsid w:val="00F54A3D"/>
    <w:rsid w:val="00F54CB0"/>
    <w:rsid w:val="00F62D97"/>
    <w:rsid w:val="00F653B8"/>
    <w:rsid w:val="00F71B89"/>
    <w:rsid w:val="00F7353C"/>
    <w:rsid w:val="00F76F8F"/>
    <w:rsid w:val="00FA1266"/>
    <w:rsid w:val="00FB36FA"/>
    <w:rsid w:val="00FB5539"/>
    <w:rsid w:val="00FC1192"/>
    <w:rsid w:val="00FD3BBA"/>
    <w:rsid w:val="00FF39F3"/>
    <w:rsid w:val="489ACE2A"/>
    <w:rsid w:val="79025B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DC2F00"/>
    <w:pPr>
      <w:spacing w:after="200"/>
    </w:pPr>
    <w:rPr>
      <w:i/>
      <w:iCs/>
      <w:color w:val="44546A" w:themeColor="text2"/>
      <w:sz w:val="18"/>
      <w:szCs w:val="18"/>
    </w:rPr>
  </w:style>
  <w:style w:type="paragraph" w:styleId="BalloonText">
    <w:name w:val="Balloon Text"/>
    <w:basedOn w:val="Normal"/>
    <w:link w:val="BalloonTextChar"/>
    <w:rsid w:val="006927A8"/>
    <w:pPr>
      <w:spacing w:after="0"/>
    </w:pPr>
    <w:rPr>
      <w:rFonts w:ascii="Segoe UI" w:hAnsi="Segoe UI" w:cs="Segoe UI"/>
      <w:sz w:val="18"/>
      <w:szCs w:val="18"/>
    </w:rPr>
  </w:style>
  <w:style w:type="character" w:customStyle="1" w:styleId="BalloonTextChar">
    <w:name w:val="Balloon Text Char"/>
    <w:basedOn w:val="DefaultParagraphFont"/>
    <w:link w:val="BalloonText"/>
    <w:rsid w:val="006927A8"/>
    <w:rPr>
      <w:rFonts w:ascii="Segoe UI" w:hAnsi="Segoe UI" w:cs="Segoe UI"/>
      <w:sz w:val="18"/>
      <w:szCs w:val="18"/>
      <w:lang w:eastAsia="en-US"/>
    </w:rPr>
  </w:style>
  <w:style w:type="character" w:styleId="CommentReference">
    <w:name w:val="annotation reference"/>
    <w:basedOn w:val="DefaultParagraphFont"/>
    <w:rsid w:val="00F34B01"/>
    <w:rPr>
      <w:sz w:val="16"/>
      <w:szCs w:val="16"/>
    </w:rPr>
  </w:style>
  <w:style w:type="paragraph" w:styleId="CommentText">
    <w:name w:val="annotation text"/>
    <w:basedOn w:val="Normal"/>
    <w:link w:val="CommentTextChar"/>
    <w:rsid w:val="00F34B01"/>
  </w:style>
  <w:style w:type="character" w:customStyle="1" w:styleId="CommentTextChar">
    <w:name w:val="Comment Text Char"/>
    <w:basedOn w:val="DefaultParagraphFont"/>
    <w:link w:val="CommentText"/>
    <w:rsid w:val="00F34B01"/>
    <w:rPr>
      <w:lang w:eastAsia="en-US"/>
    </w:rPr>
  </w:style>
  <w:style w:type="paragraph" w:styleId="CommentSubject">
    <w:name w:val="annotation subject"/>
    <w:basedOn w:val="CommentText"/>
    <w:next w:val="CommentText"/>
    <w:link w:val="CommentSubjectChar"/>
    <w:rsid w:val="00F34B01"/>
    <w:rPr>
      <w:b/>
      <w:bCs/>
    </w:rPr>
  </w:style>
  <w:style w:type="character" w:customStyle="1" w:styleId="CommentSubjectChar">
    <w:name w:val="Comment Subject Char"/>
    <w:basedOn w:val="CommentTextChar"/>
    <w:link w:val="CommentSubject"/>
    <w:rsid w:val="00F34B01"/>
    <w:rPr>
      <w:b/>
      <w:bCs/>
      <w:lang w:eastAsia="en-US"/>
    </w:rPr>
  </w:style>
  <w:style w:type="paragraph" w:styleId="ListParagraph">
    <w:name w:val="List Paragraph"/>
    <w:basedOn w:val="Normal"/>
    <w:uiPriority w:val="34"/>
    <w:qFormat/>
    <w:rsid w:val="006B1F9A"/>
    <w:pPr>
      <w:ind w:left="720"/>
      <w:contextualSpacing/>
    </w:pPr>
    <w:rPr>
      <w:lang w:val="en-US"/>
    </w:rPr>
  </w:style>
  <w:style w:type="paragraph" w:styleId="Revision">
    <w:name w:val="Revision"/>
    <w:hidden/>
    <w:uiPriority w:val="99"/>
    <w:semiHidden/>
    <w:rsid w:val="00310A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4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5AIRPNAIUNRU-859666464-1245</_dlc_DocId>
    <_dlc_DocIdUrl xmlns="71c5aaf6-e6ce-465b-b873-5148d2a4c105">
      <Url>https://nokia.sharepoint.com/sites/c5g/e2earch/_layouts/15/DocIdRedir.aspx?ID=5AIRPNAIUNRU-859666464-1245</Url>
      <Description>5AIRPNAIUNRU-859666464-1245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2E2FC46-6D34-473F-BAEB-752DECC3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159</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Keskitalo, Ilkka (Nokia - FI/Oulu)</dc:creator>
  <cp:lastModifiedBy>Dawid</cp:lastModifiedBy>
  <cp:revision>19</cp:revision>
  <dcterms:created xsi:type="dcterms:W3CDTF">2018-01-11T13:14:00Z</dcterms:created>
  <dcterms:modified xsi:type="dcterms:W3CDTF">2018-01-12T07:25:00Z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58850faf-fc54-4b34-914e-2cb7c4ed4e24</vt:lpwstr>
  </property>
  <property fmtid="{D5CDD505-2E9C-101B-9397-08002B2CF9AE}" pid="4" name="_NewReviewCycle">
    <vt:lpwstr/>
  </property>
</Properties>
</file>